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AC508" w14:textId="45838EE7" w:rsidR="006877B9" w:rsidRPr="00A4285C" w:rsidRDefault="002E38C8" w:rsidP="002E38C8">
      <w:pPr>
        <w:rPr>
          <w:rFonts w:ascii="Times New Roman" w:hAnsi="Times New Roman" w:cs="Times New Roman"/>
          <w:color w:val="202020"/>
          <w:sz w:val="28"/>
          <w:szCs w:val="28"/>
          <w:shd w:val="clear" w:color="auto" w:fill="FFFFFF"/>
        </w:rPr>
      </w:pPr>
      <w:bookmarkStart w:id="0" w:name="_GoBack"/>
      <w:bookmarkEnd w:id="0"/>
      <w:r w:rsidRPr="00A4285C">
        <w:rPr>
          <w:rFonts w:ascii="Times New Roman" w:hAnsi="Times New Roman" w:cs="Times New Roman"/>
          <w:b/>
          <w:bCs/>
          <w:color w:val="202020"/>
          <w:sz w:val="28"/>
          <w:szCs w:val="28"/>
          <w:shd w:val="clear" w:color="auto" w:fill="FFFFFF"/>
        </w:rPr>
        <w:t>Littman L (2018)</w:t>
      </w:r>
      <w:r w:rsidRPr="00A4285C">
        <w:rPr>
          <w:rFonts w:ascii="Times New Roman" w:hAnsi="Times New Roman" w:cs="Times New Roman"/>
          <w:color w:val="202020"/>
          <w:sz w:val="28"/>
          <w:szCs w:val="28"/>
          <w:shd w:val="clear" w:color="auto" w:fill="FFFFFF"/>
        </w:rPr>
        <w:t xml:space="preserve"> Parent reports of adolescents and young adults perceived to show signs of a rapid onset of gender dysphoria. PL</w:t>
      </w:r>
      <w:r w:rsidR="00843984" w:rsidRPr="00A4285C">
        <w:rPr>
          <w:rFonts w:ascii="Times New Roman" w:hAnsi="Times New Roman" w:cs="Times New Roman"/>
          <w:color w:val="202020"/>
          <w:sz w:val="28"/>
          <w:szCs w:val="28"/>
          <w:shd w:val="clear" w:color="auto" w:fill="FFFFFF"/>
        </w:rPr>
        <w:t>O</w:t>
      </w:r>
      <w:r w:rsidRPr="00A4285C">
        <w:rPr>
          <w:rFonts w:ascii="Times New Roman" w:hAnsi="Times New Roman" w:cs="Times New Roman"/>
          <w:color w:val="202020"/>
          <w:sz w:val="28"/>
          <w:szCs w:val="28"/>
          <w:shd w:val="clear" w:color="auto" w:fill="FFFFFF"/>
        </w:rPr>
        <w:t xml:space="preserve">S ONE 13(8): e0202330. </w:t>
      </w:r>
      <w:hyperlink r:id="rId6" w:history="1">
        <w:r w:rsidR="006877B9" w:rsidRPr="00A4285C">
          <w:rPr>
            <w:rStyle w:val="Hyperlink"/>
            <w:rFonts w:ascii="Times New Roman" w:hAnsi="Times New Roman" w:cs="Times New Roman"/>
            <w:sz w:val="28"/>
            <w:szCs w:val="28"/>
            <w:shd w:val="clear" w:color="auto" w:fill="FFFFFF"/>
          </w:rPr>
          <w:t>https://doi.org/10.1371/journal.pone.0202330</w:t>
        </w:r>
      </w:hyperlink>
    </w:p>
    <w:p w14:paraId="15DCA5E1" w14:textId="1A4ED536" w:rsidR="002E38C8" w:rsidRDefault="002E38C8" w:rsidP="002E38C8">
      <w:pPr>
        <w:rPr>
          <w:rFonts w:ascii="Times New Roman" w:hAnsi="Times New Roman" w:cs="Times New Roman"/>
          <w:color w:val="202020"/>
          <w:sz w:val="24"/>
          <w:szCs w:val="24"/>
          <w:shd w:val="clear" w:color="auto" w:fill="EFEFEF"/>
        </w:rPr>
      </w:pPr>
      <w:r w:rsidRPr="00A4285C">
        <w:rPr>
          <w:rFonts w:ascii="Times New Roman" w:hAnsi="Times New Roman" w:cs="Times New Roman"/>
          <w:color w:val="202020"/>
          <w:sz w:val="24"/>
          <w:szCs w:val="24"/>
          <w:shd w:val="clear" w:color="auto" w:fill="EFEFEF"/>
        </w:rPr>
        <w:t xml:space="preserve">Littman explains that parents have monitored their kids’ online access and reported that they are experiencing a sudden or rapid onset of gender dysphoria. Parents are stating that this is appearing </w:t>
      </w:r>
      <w:r w:rsidR="00B9238F" w:rsidRPr="00A4285C">
        <w:rPr>
          <w:rFonts w:ascii="Times New Roman" w:hAnsi="Times New Roman" w:cs="Times New Roman"/>
          <w:color w:val="202020"/>
          <w:sz w:val="24"/>
          <w:szCs w:val="24"/>
          <w:shd w:val="clear" w:color="auto" w:fill="EFEFEF"/>
        </w:rPr>
        <w:t xml:space="preserve">for the </w:t>
      </w:r>
      <w:r w:rsidRPr="00A4285C">
        <w:rPr>
          <w:rFonts w:ascii="Times New Roman" w:hAnsi="Times New Roman" w:cs="Times New Roman"/>
          <w:color w:val="202020"/>
          <w:sz w:val="24"/>
          <w:szCs w:val="24"/>
          <w:shd w:val="clear" w:color="auto" w:fill="EFEFEF"/>
        </w:rPr>
        <w:t>first time since puberty. Littman also explains that parents seemed to believe that th</w:t>
      </w:r>
      <w:r w:rsidR="00211353" w:rsidRPr="00A4285C">
        <w:rPr>
          <w:rFonts w:ascii="Times New Roman" w:hAnsi="Times New Roman" w:cs="Times New Roman"/>
          <w:color w:val="202020"/>
          <w:sz w:val="24"/>
          <w:szCs w:val="24"/>
          <w:shd w:val="clear" w:color="auto" w:fill="EFEFEF"/>
        </w:rPr>
        <w:t>e</w:t>
      </w:r>
      <w:r w:rsidRPr="00A4285C">
        <w:rPr>
          <w:rFonts w:ascii="Times New Roman" w:hAnsi="Times New Roman" w:cs="Times New Roman"/>
          <w:color w:val="202020"/>
          <w:sz w:val="24"/>
          <w:szCs w:val="24"/>
          <w:shd w:val="clear" w:color="auto" w:fill="EFEFEF"/>
        </w:rPr>
        <w:t xml:space="preserve"> sudden case began by them belonging to a peer group online, where multiple </w:t>
      </w:r>
      <w:r w:rsidR="00B9238F" w:rsidRPr="00A4285C">
        <w:rPr>
          <w:rFonts w:ascii="Times New Roman" w:hAnsi="Times New Roman" w:cs="Times New Roman"/>
          <w:color w:val="202020"/>
          <w:sz w:val="24"/>
          <w:szCs w:val="24"/>
          <w:shd w:val="clear" w:color="auto" w:fill="EFEFEF"/>
        </w:rPr>
        <w:t xml:space="preserve">or </w:t>
      </w:r>
      <w:r w:rsidRPr="00A4285C">
        <w:rPr>
          <w:rFonts w:ascii="Times New Roman" w:hAnsi="Times New Roman" w:cs="Times New Roman"/>
          <w:color w:val="202020"/>
          <w:sz w:val="24"/>
          <w:szCs w:val="24"/>
          <w:shd w:val="clear" w:color="auto" w:fill="EFEFEF"/>
        </w:rPr>
        <w:t xml:space="preserve">all friends have become gender dysphoric and transgender-identified during the same timeframe. </w:t>
      </w:r>
      <w:r w:rsidR="00843984" w:rsidRPr="00A4285C">
        <w:rPr>
          <w:rFonts w:ascii="Times New Roman" w:hAnsi="Times New Roman" w:cs="Times New Roman"/>
          <w:color w:val="202020"/>
          <w:sz w:val="24"/>
          <w:szCs w:val="24"/>
          <w:shd w:val="clear" w:color="auto" w:fill="EFEFEF"/>
        </w:rPr>
        <w:t xml:space="preserve">Littman continues to explain the role that social media averts itself on </w:t>
      </w:r>
      <w:r w:rsidR="00211353" w:rsidRPr="00A4285C">
        <w:rPr>
          <w:rFonts w:ascii="Times New Roman" w:hAnsi="Times New Roman" w:cs="Times New Roman"/>
          <w:color w:val="202020"/>
          <w:sz w:val="24"/>
          <w:szCs w:val="24"/>
          <w:shd w:val="clear" w:color="auto" w:fill="EFEFEF"/>
        </w:rPr>
        <w:t>adolescents in the development of gender dysphoria.</w:t>
      </w:r>
      <w:r w:rsidR="0032366C" w:rsidRPr="00A4285C">
        <w:rPr>
          <w:rFonts w:ascii="Times New Roman" w:hAnsi="Times New Roman" w:cs="Times New Roman"/>
          <w:color w:val="202020"/>
          <w:sz w:val="24"/>
          <w:szCs w:val="24"/>
          <w:shd w:val="clear" w:color="auto" w:fill="EFEFEF"/>
        </w:rPr>
        <w:t xml:space="preserve"> The study is intended to identify the possibilities that social groups have on gender dysphoria. There were 256 parent-completed surveys that met study criteria. The AYA children described were predominantly natal female</w:t>
      </w:r>
      <w:r w:rsidR="00B9238F" w:rsidRPr="00A4285C">
        <w:rPr>
          <w:rFonts w:ascii="Times New Roman" w:hAnsi="Times New Roman" w:cs="Times New Roman"/>
          <w:color w:val="202020"/>
          <w:sz w:val="24"/>
          <w:szCs w:val="24"/>
          <w:shd w:val="clear" w:color="auto" w:fill="EFEFEF"/>
        </w:rPr>
        <w:t>s</w:t>
      </w:r>
      <w:r w:rsidR="0032366C" w:rsidRPr="00A4285C">
        <w:rPr>
          <w:rFonts w:ascii="Times New Roman" w:hAnsi="Times New Roman" w:cs="Times New Roman"/>
          <w:color w:val="202020"/>
          <w:sz w:val="24"/>
          <w:szCs w:val="24"/>
          <w:shd w:val="clear" w:color="auto" w:fill="EFEFEF"/>
        </w:rPr>
        <w:t xml:space="preserve"> with a mean age of 16.4 at the time of the survey completion and a mean age of 15.2 when they announced a transgender-identification. Littman continues to research the aspect of mental health as it relates to gender dysphoria.</w:t>
      </w:r>
    </w:p>
    <w:p w14:paraId="5D564AAA" w14:textId="527B31A0" w:rsidR="00D308B5" w:rsidRDefault="00D308B5" w:rsidP="002E38C8">
      <w:pPr>
        <w:rPr>
          <w:rFonts w:ascii="Times New Roman" w:hAnsi="Times New Roman" w:cs="Times New Roman"/>
          <w:color w:val="202020"/>
          <w:sz w:val="24"/>
          <w:szCs w:val="24"/>
          <w:shd w:val="clear" w:color="auto" w:fill="EFEFEF"/>
        </w:rPr>
      </w:pPr>
    </w:p>
    <w:p w14:paraId="34B6AACC" w14:textId="77777777" w:rsidR="00D308B5" w:rsidRPr="00A4285C" w:rsidRDefault="00D308B5" w:rsidP="00D308B5">
      <w:pPr>
        <w:rPr>
          <w:rFonts w:ascii="Times New Roman" w:hAnsi="Times New Roman" w:cs="Times New Roman"/>
          <w:color w:val="1C1D1E"/>
          <w:sz w:val="28"/>
          <w:szCs w:val="28"/>
          <w:shd w:val="clear" w:color="auto" w:fill="FFFFFF"/>
        </w:rPr>
      </w:pPr>
      <w:r w:rsidRPr="00A4285C">
        <w:rPr>
          <w:rStyle w:val="hlfld-contribauthor"/>
          <w:rFonts w:ascii="Times New Roman" w:hAnsi="Times New Roman" w:cs="Times New Roman"/>
          <w:color w:val="1C1D1E"/>
          <w:sz w:val="28"/>
          <w:szCs w:val="28"/>
          <w:shd w:val="clear" w:color="auto" w:fill="FFFFFF"/>
        </w:rPr>
        <w:t>Jack L. Turban and Gerrit I. van Schalkwyk</w:t>
      </w:r>
      <w:r w:rsidRPr="00A4285C">
        <w:rPr>
          <w:rFonts w:ascii="Times New Roman" w:hAnsi="Times New Roman" w:cs="Times New Roman"/>
          <w:color w:val="1C1D1E"/>
          <w:sz w:val="28"/>
          <w:szCs w:val="28"/>
          <w:shd w:val="clear" w:color="auto" w:fill="FFFFFF"/>
        </w:rPr>
        <w:t>, “Gender Dysphoria” and Autism Spectrum Disorder: Is the Link Real?</w:t>
      </w:r>
      <w:r w:rsidRPr="00A4285C">
        <w:rPr>
          <w:rStyle w:val="seperator"/>
          <w:rFonts w:ascii="Times New Roman" w:hAnsi="Times New Roman" w:cs="Times New Roman"/>
          <w:color w:val="1C1D1E"/>
          <w:sz w:val="28"/>
          <w:szCs w:val="28"/>
          <w:shd w:val="clear" w:color="auto" w:fill="FFFFFF"/>
        </w:rPr>
        <w:t>, </w:t>
      </w:r>
      <w:r w:rsidRPr="00A4285C">
        <w:rPr>
          <w:rStyle w:val="seriestitle"/>
          <w:rFonts w:ascii="Times New Roman" w:hAnsi="Times New Roman" w:cs="Times New Roman"/>
          <w:i/>
          <w:iCs/>
          <w:color w:val="1C1D1E"/>
          <w:sz w:val="28"/>
          <w:szCs w:val="28"/>
          <w:shd w:val="clear" w:color="auto" w:fill="FFFFFF"/>
        </w:rPr>
        <w:t>Journal of the American Academy of Child &amp; Adolescent Psychiatry</w:t>
      </w:r>
      <w:r w:rsidRPr="00A4285C">
        <w:rPr>
          <w:rStyle w:val="seperator"/>
          <w:rFonts w:ascii="Times New Roman" w:hAnsi="Times New Roman" w:cs="Times New Roman"/>
          <w:color w:val="1C1D1E"/>
          <w:sz w:val="28"/>
          <w:szCs w:val="28"/>
          <w:shd w:val="clear" w:color="auto" w:fill="FFFFFF"/>
        </w:rPr>
        <w:t>, </w:t>
      </w:r>
      <w:r w:rsidRPr="00A4285C">
        <w:rPr>
          <w:rStyle w:val="doi"/>
          <w:rFonts w:ascii="Times New Roman" w:hAnsi="Times New Roman" w:cs="Times New Roman"/>
          <w:color w:val="1C1D1E"/>
          <w:sz w:val="28"/>
          <w:szCs w:val="28"/>
          <w:shd w:val="clear" w:color="auto" w:fill="FFFFFF"/>
        </w:rPr>
        <w:t>10.1016/j.jaac.2017.08.017</w:t>
      </w:r>
      <w:r w:rsidRPr="00A4285C">
        <w:rPr>
          <w:rStyle w:val="seperator"/>
          <w:rFonts w:ascii="Times New Roman" w:hAnsi="Times New Roman" w:cs="Times New Roman"/>
          <w:color w:val="1C1D1E"/>
          <w:sz w:val="28"/>
          <w:szCs w:val="28"/>
          <w:shd w:val="clear" w:color="auto" w:fill="FFFFFF"/>
        </w:rPr>
        <w:t>, </w:t>
      </w:r>
      <w:r w:rsidRPr="00A4285C">
        <w:rPr>
          <w:rStyle w:val="volume"/>
          <w:rFonts w:ascii="Times New Roman" w:hAnsi="Times New Roman" w:cs="Times New Roman"/>
          <w:b/>
          <w:bCs/>
          <w:color w:val="1C1D1E"/>
          <w:sz w:val="28"/>
          <w:szCs w:val="28"/>
          <w:shd w:val="clear" w:color="auto" w:fill="FFFFFF"/>
        </w:rPr>
        <w:t>57</w:t>
      </w:r>
      <w:r w:rsidRPr="00A4285C">
        <w:rPr>
          <w:rStyle w:val="issue"/>
          <w:rFonts w:ascii="Times New Roman" w:hAnsi="Times New Roman" w:cs="Times New Roman"/>
          <w:color w:val="1C1D1E"/>
          <w:sz w:val="28"/>
          <w:szCs w:val="28"/>
          <w:shd w:val="clear" w:color="auto" w:fill="FFFFFF"/>
        </w:rPr>
        <w:t>, 1</w:t>
      </w:r>
      <w:r w:rsidRPr="00A4285C">
        <w:rPr>
          <w:rStyle w:val="seperator"/>
          <w:rFonts w:ascii="Times New Roman" w:hAnsi="Times New Roman" w:cs="Times New Roman"/>
          <w:color w:val="1C1D1E"/>
          <w:sz w:val="28"/>
          <w:szCs w:val="28"/>
          <w:shd w:val="clear" w:color="auto" w:fill="FFFFFF"/>
        </w:rPr>
        <w:t>, </w:t>
      </w:r>
      <w:r w:rsidRPr="00A4285C">
        <w:rPr>
          <w:rStyle w:val="page-range"/>
          <w:rFonts w:ascii="Times New Roman" w:hAnsi="Times New Roman" w:cs="Times New Roman"/>
          <w:color w:val="1C1D1E"/>
          <w:sz w:val="28"/>
          <w:szCs w:val="28"/>
          <w:shd w:val="clear" w:color="auto" w:fill="FFFFFF"/>
        </w:rPr>
        <w:t>(8-9.e2)</w:t>
      </w:r>
      <w:r w:rsidRPr="00A4285C">
        <w:rPr>
          <w:rStyle w:val="seperator"/>
          <w:rFonts w:ascii="Times New Roman" w:hAnsi="Times New Roman" w:cs="Times New Roman"/>
          <w:color w:val="1C1D1E"/>
          <w:sz w:val="28"/>
          <w:szCs w:val="28"/>
          <w:shd w:val="clear" w:color="auto" w:fill="FFFFFF"/>
        </w:rPr>
        <w:t>, </w:t>
      </w:r>
      <w:r w:rsidRPr="00A4285C">
        <w:rPr>
          <w:rStyle w:val="pub-year"/>
          <w:rFonts w:ascii="Times New Roman" w:hAnsi="Times New Roman" w:cs="Times New Roman"/>
          <w:color w:val="1C1D1E"/>
          <w:sz w:val="28"/>
          <w:szCs w:val="28"/>
          <w:shd w:val="clear" w:color="auto" w:fill="FFFFFF"/>
        </w:rPr>
        <w:t>(2018)</w:t>
      </w:r>
      <w:r w:rsidRPr="00A4285C">
        <w:rPr>
          <w:rFonts w:ascii="Times New Roman" w:hAnsi="Times New Roman" w:cs="Times New Roman"/>
          <w:color w:val="1C1D1E"/>
          <w:sz w:val="28"/>
          <w:szCs w:val="28"/>
          <w:shd w:val="clear" w:color="auto" w:fill="FFFFFF"/>
        </w:rPr>
        <w:t>.</w:t>
      </w:r>
    </w:p>
    <w:p w14:paraId="5B2BA71B" w14:textId="66D7141C" w:rsidR="00D308B5" w:rsidRDefault="00D308B5" w:rsidP="002E38C8">
      <w:pPr>
        <w:rPr>
          <w:rFonts w:ascii="Times New Roman" w:hAnsi="Times New Roman" w:cs="Times New Roman"/>
          <w:color w:val="1C1D1E"/>
          <w:sz w:val="24"/>
          <w:szCs w:val="24"/>
          <w:shd w:val="clear" w:color="auto" w:fill="FFFFFF"/>
        </w:rPr>
      </w:pPr>
      <w:r w:rsidRPr="002D4856">
        <w:rPr>
          <w:rFonts w:ascii="Times New Roman" w:hAnsi="Times New Roman" w:cs="Times New Roman"/>
          <w:color w:val="1C1D1E"/>
          <w:sz w:val="24"/>
          <w:szCs w:val="24"/>
          <w:shd w:val="clear" w:color="auto" w:fill="FFFFFF"/>
        </w:rPr>
        <w:t>The study is based on the link between gender dysphoria and Autism. It explains the notion that more children are have gender dysphoria in the last decade than ever before. It speaks on the popularity of the gender dysphoria as being a social connection than expounds more of the mental effect. The author explains that the connection to autism is based on a mental study and the nature of autistic studies vs gender dysphoria. The study is not however, determining that children are in fact Autistic by reason of gender dysphoria, but that there is certainly a link that we need to research more.</w:t>
      </w:r>
    </w:p>
    <w:p w14:paraId="642B5687" w14:textId="6DA36982" w:rsidR="00D308B5" w:rsidRDefault="00D308B5" w:rsidP="002E38C8">
      <w:pPr>
        <w:rPr>
          <w:rFonts w:ascii="Times New Roman" w:hAnsi="Times New Roman" w:cs="Times New Roman"/>
          <w:color w:val="1C1D1E"/>
          <w:sz w:val="24"/>
          <w:szCs w:val="24"/>
          <w:shd w:val="clear" w:color="auto" w:fill="FFFFFF"/>
        </w:rPr>
      </w:pPr>
    </w:p>
    <w:p w14:paraId="56F0654C" w14:textId="77777777" w:rsidR="00D308B5" w:rsidRPr="00A4285C" w:rsidRDefault="00D308B5" w:rsidP="00D308B5">
      <w:pPr>
        <w:rPr>
          <w:rFonts w:ascii="Times New Roman" w:hAnsi="Times New Roman" w:cs="Times New Roman"/>
          <w:color w:val="202020"/>
          <w:sz w:val="28"/>
          <w:szCs w:val="28"/>
          <w:shd w:val="clear" w:color="auto" w:fill="EFEFEF"/>
        </w:rPr>
      </w:pPr>
      <w:r w:rsidRPr="00A4285C">
        <w:rPr>
          <w:rStyle w:val="hlfld-contribauthor"/>
          <w:rFonts w:ascii="Times New Roman" w:hAnsi="Times New Roman" w:cs="Times New Roman"/>
          <w:color w:val="1C1D1E"/>
          <w:sz w:val="28"/>
          <w:szCs w:val="28"/>
          <w:shd w:val="clear" w:color="auto" w:fill="FFFFFF"/>
        </w:rPr>
        <w:t>Bethany Alice Jones, Emma Haycraft, Walter Pierre Bouman, Nicola Brewin, Laurence Claes and Jon Arcelus</w:t>
      </w:r>
      <w:r w:rsidRPr="00A4285C">
        <w:rPr>
          <w:rFonts w:ascii="Times New Roman" w:hAnsi="Times New Roman" w:cs="Times New Roman"/>
          <w:color w:val="1C1D1E"/>
          <w:sz w:val="28"/>
          <w:szCs w:val="28"/>
          <w:shd w:val="clear" w:color="auto" w:fill="FFFFFF"/>
        </w:rPr>
        <w:t>, Risk Factors for Eating Disorder Psychopathology within the Treatment Seeking Transgender Population: The Role of Cross‐Sex Hormone Treatment</w:t>
      </w:r>
      <w:r w:rsidRPr="00A4285C">
        <w:rPr>
          <w:rStyle w:val="seperator"/>
          <w:rFonts w:ascii="Times New Roman" w:hAnsi="Times New Roman" w:cs="Times New Roman"/>
          <w:color w:val="1C1D1E"/>
          <w:sz w:val="28"/>
          <w:szCs w:val="28"/>
          <w:shd w:val="clear" w:color="auto" w:fill="FFFFFF"/>
        </w:rPr>
        <w:t>, </w:t>
      </w:r>
      <w:r w:rsidRPr="00A4285C">
        <w:rPr>
          <w:rStyle w:val="seriestitle"/>
          <w:rFonts w:ascii="Times New Roman" w:hAnsi="Times New Roman" w:cs="Times New Roman"/>
          <w:i/>
          <w:iCs/>
          <w:color w:val="1C1D1E"/>
          <w:sz w:val="28"/>
          <w:szCs w:val="28"/>
          <w:shd w:val="clear" w:color="auto" w:fill="FFFFFF"/>
        </w:rPr>
        <w:t>European Eating Disorders Review</w:t>
      </w:r>
      <w:r w:rsidRPr="00A4285C">
        <w:rPr>
          <w:rStyle w:val="seperator"/>
          <w:rFonts w:ascii="Times New Roman" w:hAnsi="Times New Roman" w:cs="Times New Roman"/>
          <w:color w:val="1C1D1E"/>
          <w:sz w:val="28"/>
          <w:szCs w:val="28"/>
          <w:shd w:val="clear" w:color="auto" w:fill="FFFFFF"/>
        </w:rPr>
        <w:t>, </w:t>
      </w:r>
      <w:r w:rsidRPr="00A4285C">
        <w:rPr>
          <w:rStyle w:val="volume"/>
          <w:rFonts w:ascii="Times New Roman" w:hAnsi="Times New Roman" w:cs="Times New Roman"/>
          <w:b/>
          <w:bCs/>
          <w:color w:val="1C1D1E"/>
          <w:sz w:val="28"/>
          <w:szCs w:val="28"/>
          <w:shd w:val="clear" w:color="auto" w:fill="FFFFFF"/>
        </w:rPr>
        <w:t>26</w:t>
      </w:r>
      <w:r w:rsidRPr="00A4285C">
        <w:rPr>
          <w:rStyle w:val="issue"/>
          <w:rFonts w:ascii="Times New Roman" w:hAnsi="Times New Roman" w:cs="Times New Roman"/>
          <w:color w:val="1C1D1E"/>
          <w:sz w:val="28"/>
          <w:szCs w:val="28"/>
          <w:shd w:val="clear" w:color="auto" w:fill="FFFFFF"/>
        </w:rPr>
        <w:t>, 2</w:t>
      </w:r>
      <w:r w:rsidRPr="00A4285C">
        <w:rPr>
          <w:rStyle w:val="seperator"/>
          <w:rFonts w:ascii="Times New Roman" w:hAnsi="Times New Roman" w:cs="Times New Roman"/>
          <w:color w:val="1C1D1E"/>
          <w:sz w:val="28"/>
          <w:szCs w:val="28"/>
          <w:shd w:val="clear" w:color="auto" w:fill="FFFFFF"/>
        </w:rPr>
        <w:t>, </w:t>
      </w:r>
      <w:r w:rsidRPr="00A4285C">
        <w:rPr>
          <w:rStyle w:val="page-range"/>
          <w:rFonts w:ascii="Times New Roman" w:hAnsi="Times New Roman" w:cs="Times New Roman"/>
          <w:color w:val="1C1D1E"/>
          <w:sz w:val="28"/>
          <w:szCs w:val="28"/>
          <w:shd w:val="clear" w:color="auto" w:fill="FFFFFF"/>
        </w:rPr>
        <w:t>(120-128)</w:t>
      </w:r>
      <w:r w:rsidRPr="00A4285C">
        <w:rPr>
          <w:rStyle w:val="seperator"/>
          <w:rFonts w:ascii="Times New Roman" w:hAnsi="Times New Roman" w:cs="Times New Roman"/>
          <w:color w:val="1C1D1E"/>
          <w:sz w:val="28"/>
          <w:szCs w:val="28"/>
          <w:shd w:val="clear" w:color="auto" w:fill="FFFFFF"/>
        </w:rPr>
        <w:t>, </w:t>
      </w:r>
      <w:r w:rsidRPr="00A4285C">
        <w:rPr>
          <w:rStyle w:val="pub-year"/>
          <w:rFonts w:ascii="Times New Roman" w:hAnsi="Times New Roman" w:cs="Times New Roman"/>
          <w:color w:val="1C1D1E"/>
          <w:sz w:val="28"/>
          <w:szCs w:val="28"/>
          <w:shd w:val="clear" w:color="auto" w:fill="FFFFFF"/>
        </w:rPr>
        <w:t>(2018)</w:t>
      </w:r>
      <w:r w:rsidRPr="00A4285C">
        <w:rPr>
          <w:rFonts w:ascii="Times New Roman" w:hAnsi="Times New Roman" w:cs="Times New Roman"/>
          <w:color w:val="1C1D1E"/>
          <w:sz w:val="28"/>
          <w:szCs w:val="28"/>
          <w:shd w:val="clear" w:color="auto" w:fill="FFFFFF"/>
        </w:rPr>
        <w:t>.</w:t>
      </w:r>
    </w:p>
    <w:p w14:paraId="311392B8" w14:textId="74C77370" w:rsidR="00D308B5" w:rsidRDefault="00D308B5" w:rsidP="002E38C8">
      <w:pPr>
        <w:rPr>
          <w:rFonts w:ascii="Times New Roman" w:hAnsi="Times New Roman" w:cs="Times New Roman"/>
          <w:sz w:val="24"/>
          <w:szCs w:val="24"/>
        </w:rPr>
      </w:pPr>
      <w:r w:rsidRPr="00A4285C">
        <w:rPr>
          <w:rFonts w:ascii="Times New Roman" w:hAnsi="Times New Roman" w:cs="Times New Roman"/>
          <w:sz w:val="24"/>
          <w:szCs w:val="24"/>
        </w:rPr>
        <w:t xml:space="preserve">The study tackles the risk factors from transgenders using cross-sex hormones and the impact the hormones could have in dissatisfaction of body chemistry and leading to eating disorders. The study did explain that cross-sex hormones could be a bridge for transgenders to combat the eating disorder. The study is meant to engage people of the transgender community of the positive and negative impact the cross-sex hormones could play in their lives. </w:t>
      </w:r>
    </w:p>
    <w:p w14:paraId="1F2B0467" w14:textId="77777777" w:rsidR="00661BDC" w:rsidRPr="00A4285C" w:rsidRDefault="00661BDC" w:rsidP="00661BDC">
      <w:pPr>
        <w:shd w:val="clear" w:color="auto" w:fill="FFFFFF"/>
        <w:rPr>
          <w:rFonts w:ascii="Times New Roman" w:hAnsi="Times New Roman" w:cs="Times New Roman"/>
          <w:color w:val="00313C"/>
          <w:sz w:val="28"/>
          <w:szCs w:val="28"/>
          <w:shd w:val="clear" w:color="auto" w:fill="FFFFFF"/>
        </w:rPr>
      </w:pPr>
      <w:r w:rsidRPr="00A4285C">
        <w:rPr>
          <w:rFonts w:ascii="Times New Roman" w:hAnsi="Times New Roman" w:cs="Times New Roman"/>
          <w:i/>
          <w:iCs/>
          <w:color w:val="00313C"/>
          <w:sz w:val="28"/>
          <w:szCs w:val="28"/>
          <w:shd w:val="clear" w:color="auto" w:fill="FFFFFF"/>
        </w:rPr>
        <w:lastRenderedPageBreak/>
        <w:t>Sexual Health</w:t>
      </w:r>
      <w:r w:rsidRPr="00A4285C">
        <w:rPr>
          <w:rFonts w:ascii="Times New Roman" w:hAnsi="Times New Roman" w:cs="Times New Roman"/>
          <w:color w:val="00313C"/>
          <w:sz w:val="28"/>
          <w:szCs w:val="28"/>
          <w:shd w:val="clear" w:color="auto" w:fill="FFFFFF"/>
        </w:rPr>
        <w:t> 14(5) 404-411 https://doi.org/10.1071/SH17067</w:t>
      </w:r>
      <w:r w:rsidRPr="00A4285C">
        <w:rPr>
          <w:rFonts w:ascii="Times New Roman" w:hAnsi="Times New Roman" w:cs="Times New Roman"/>
          <w:color w:val="00313C"/>
          <w:sz w:val="28"/>
          <w:szCs w:val="28"/>
        </w:rPr>
        <w:br/>
      </w:r>
      <w:r w:rsidRPr="00A4285C">
        <w:rPr>
          <w:rFonts w:ascii="Times New Roman" w:hAnsi="Times New Roman" w:cs="Times New Roman"/>
          <w:color w:val="00313C"/>
          <w:sz w:val="28"/>
          <w:szCs w:val="28"/>
          <w:shd w:val="clear" w:color="auto" w:fill="FFFFFF"/>
        </w:rPr>
        <w:t>Submitted: 24 March 2017 Accepted: 22 May 2017   Published: 25 August 2017 Kenneth J. Zucker Department of Psychiatry, University of Toronto, Toronto, ON M5T 1R8, Canada.</w:t>
      </w:r>
    </w:p>
    <w:p w14:paraId="5054971E" w14:textId="312E5FEB" w:rsidR="00661BDC" w:rsidRDefault="00661BDC" w:rsidP="00661BDC">
      <w:pPr>
        <w:shd w:val="clear" w:color="auto" w:fill="FFFFFF"/>
        <w:rPr>
          <w:rFonts w:ascii="Times New Roman" w:hAnsi="Times New Roman" w:cs="Times New Roman"/>
          <w:color w:val="00313C"/>
          <w:sz w:val="24"/>
          <w:szCs w:val="24"/>
          <w:shd w:val="clear" w:color="auto" w:fill="FFFFFF"/>
        </w:rPr>
      </w:pPr>
      <w:r w:rsidRPr="00A4285C">
        <w:rPr>
          <w:rFonts w:ascii="Times New Roman" w:hAnsi="Times New Roman" w:cs="Times New Roman"/>
          <w:color w:val="00313C"/>
          <w:sz w:val="24"/>
          <w:szCs w:val="24"/>
          <w:shd w:val="clear" w:color="auto" w:fill="FFFFFF"/>
        </w:rPr>
        <w:t>This study explains the epidemiology of transgender identity in children, adolescents and adults. It explains that the referral rate has increased in the last decades in specialized clinics. The study also shows that children and adolescents are being reported having gender dysphoria more than adults. It outlines the recent inversion in the sex ratio one favoring birth assigned males to one favoring birth assigned females. The study claims that most adults are reporting or referring their gender dysphoric children to specialized clinics to be assessed. The study, however, does not factor in the non-clinic based population as that requires it’s on form of study.</w:t>
      </w:r>
    </w:p>
    <w:p w14:paraId="5B2298C8" w14:textId="594C0566" w:rsidR="00661BDC" w:rsidRDefault="00661BDC" w:rsidP="00661BDC">
      <w:pPr>
        <w:shd w:val="clear" w:color="auto" w:fill="FFFFFF"/>
        <w:rPr>
          <w:rFonts w:ascii="Times New Roman" w:hAnsi="Times New Roman" w:cs="Times New Roman"/>
          <w:color w:val="00313C"/>
          <w:sz w:val="24"/>
          <w:szCs w:val="24"/>
          <w:shd w:val="clear" w:color="auto" w:fill="FFFFFF"/>
        </w:rPr>
      </w:pPr>
    </w:p>
    <w:p w14:paraId="1B556D07" w14:textId="77777777" w:rsidR="00661BDC" w:rsidRPr="00A4285C" w:rsidRDefault="00661BDC" w:rsidP="00661BDC">
      <w:pPr>
        <w:spacing w:after="0" w:line="240" w:lineRule="auto"/>
        <w:rPr>
          <w:rStyle w:val="doilink"/>
          <w:rFonts w:ascii="Times New Roman" w:hAnsi="Times New Roman" w:cs="Times New Roman"/>
          <w:color w:val="333333"/>
          <w:sz w:val="28"/>
          <w:szCs w:val="28"/>
          <w:shd w:val="clear" w:color="auto" w:fill="FFFFFF"/>
        </w:rPr>
      </w:pPr>
      <w:r w:rsidRPr="00A4285C">
        <w:rPr>
          <w:rStyle w:val="authors"/>
          <w:rFonts w:ascii="Times New Roman" w:hAnsi="Times New Roman" w:cs="Times New Roman"/>
          <w:color w:val="333333"/>
          <w:sz w:val="28"/>
          <w:szCs w:val="28"/>
          <w:shd w:val="clear" w:color="auto" w:fill="FFFFFF"/>
        </w:rPr>
        <w:t>Jiska Ristori &amp; Thomas D. Steensma</w:t>
      </w:r>
      <w:r w:rsidRPr="00A4285C">
        <w:rPr>
          <w:rFonts w:ascii="Times New Roman" w:hAnsi="Times New Roman" w:cs="Times New Roman"/>
          <w:color w:val="333333"/>
          <w:sz w:val="28"/>
          <w:szCs w:val="28"/>
          <w:shd w:val="clear" w:color="auto" w:fill="FFFFFF"/>
        </w:rPr>
        <w:t> </w:t>
      </w:r>
      <w:r w:rsidRPr="00A4285C">
        <w:rPr>
          <w:rStyle w:val="Date1"/>
          <w:rFonts w:ascii="Times New Roman" w:hAnsi="Times New Roman" w:cs="Times New Roman"/>
          <w:color w:val="333333"/>
          <w:sz w:val="28"/>
          <w:szCs w:val="28"/>
          <w:shd w:val="clear" w:color="auto" w:fill="FFFFFF"/>
        </w:rPr>
        <w:t>(2016)</w:t>
      </w:r>
      <w:r w:rsidRPr="00A4285C">
        <w:rPr>
          <w:rFonts w:ascii="Times New Roman" w:hAnsi="Times New Roman" w:cs="Times New Roman"/>
          <w:color w:val="333333"/>
          <w:sz w:val="28"/>
          <w:szCs w:val="28"/>
          <w:shd w:val="clear" w:color="auto" w:fill="FFFFFF"/>
        </w:rPr>
        <w:t> </w:t>
      </w:r>
      <w:r w:rsidRPr="00A4285C">
        <w:rPr>
          <w:rStyle w:val="arttitle"/>
          <w:rFonts w:ascii="Times New Roman" w:hAnsi="Times New Roman" w:cs="Times New Roman"/>
          <w:color w:val="333333"/>
          <w:sz w:val="28"/>
          <w:szCs w:val="28"/>
          <w:shd w:val="clear" w:color="auto" w:fill="FFFFFF"/>
        </w:rPr>
        <w:t>Gender dysphoria in childhood,</w:t>
      </w:r>
      <w:r w:rsidRPr="00A4285C">
        <w:rPr>
          <w:rFonts w:ascii="Times New Roman" w:hAnsi="Times New Roman" w:cs="Times New Roman"/>
          <w:color w:val="333333"/>
          <w:sz w:val="28"/>
          <w:szCs w:val="28"/>
          <w:shd w:val="clear" w:color="auto" w:fill="FFFFFF"/>
        </w:rPr>
        <w:t> </w:t>
      </w:r>
      <w:r w:rsidRPr="00A4285C">
        <w:rPr>
          <w:rStyle w:val="serialtitle"/>
          <w:rFonts w:ascii="Times New Roman" w:hAnsi="Times New Roman" w:cs="Times New Roman"/>
          <w:color w:val="333333"/>
          <w:sz w:val="28"/>
          <w:szCs w:val="28"/>
          <w:shd w:val="clear" w:color="auto" w:fill="FFFFFF"/>
        </w:rPr>
        <w:t>International Review of Psychiatry,</w:t>
      </w:r>
      <w:r w:rsidRPr="00A4285C">
        <w:rPr>
          <w:rFonts w:ascii="Times New Roman" w:hAnsi="Times New Roman" w:cs="Times New Roman"/>
          <w:color w:val="333333"/>
          <w:sz w:val="28"/>
          <w:szCs w:val="28"/>
          <w:shd w:val="clear" w:color="auto" w:fill="FFFFFF"/>
        </w:rPr>
        <w:t> </w:t>
      </w:r>
      <w:r w:rsidRPr="00A4285C">
        <w:rPr>
          <w:rStyle w:val="volumeissue"/>
          <w:rFonts w:ascii="Times New Roman" w:hAnsi="Times New Roman" w:cs="Times New Roman"/>
          <w:color w:val="333333"/>
          <w:sz w:val="28"/>
          <w:szCs w:val="28"/>
          <w:shd w:val="clear" w:color="auto" w:fill="FFFFFF"/>
        </w:rPr>
        <w:t>28:1,</w:t>
      </w:r>
      <w:r w:rsidRPr="00A4285C">
        <w:rPr>
          <w:rFonts w:ascii="Times New Roman" w:hAnsi="Times New Roman" w:cs="Times New Roman"/>
          <w:color w:val="333333"/>
          <w:sz w:val="28"/>
          <w:szCs w:val="28"/>
          <w:shd w:val="clear" w:color="auto" w:fill="FFFFFF"/>
        </w:rPr>
        <w:t> </w:t>
      </w:r>
      <w:r w:rsidRPr="00A4285C">
        <w:rPr>
          <w:rStyle w:val="pagerange"/>
          <w:rFonts w:ascii="Times New Roman" w:hAnsi="Times New Roman" w:cs="Times New Roman"/>
          <w:color w:val="333333"/>
          <w:sz w:val="28"/>
          <w:szCs w:val="28"/>
          <w:shd w:val="clear" w:color="auto" w:fill="FFFFFF"/>
        </w:rPr>
        <w:t>13-20,</w:t>
      </w:r>
      <w:r w:rsidRPr="00A4285C">
        <w:rPr>
          <w:rFonts w:ascii="Times New Roman" w:hAnsi="Times New Roman" w:cs="Times New Roman"/>
          <w:color w:val="333333"/>
          <w:sz w:val="28"/>
          <w:szCs w:val="28"/>
          <w:shd w:val="clear" w:color="auto" w:fill="FFFFFF"/>
        </w:rPr>
        <w:t> </w:t>
      </w:r>
      <w:r w:rsidRPr="00A4285C">
        <w:rPr>
          <w:rStyle w:val="doilink"/>
          <w:rFonts w:ascii="Times New Roman" w:hAnsi="Times New Roman" w:cs="Times New Roman"/>
          <w:color w:val="333333"/>
          <w:sz w:val="28"/>
          <w:szCs w:val="28"/>
          <w:shd w:val="clear" w:color="auto" w:fill="FFFFFF"/>
        </w:rPr>
        <w:t>DOI: </w:t>
      </w:r>
      <w:hyperlink r:id="rId7" w:history="1">
        <w:r w:rsidRPr="00A4285C">
          <w:rPr>
            <w:rStyle w:val="Hyperlink"/>
            <w:rFonts w:ascii="Times New Roman" w:hAnsi="Times New Roman" w:cs="Times New Roman"/>
            <w:color w:val="333333"/>
            <w:sz w:val="28"/>
            <w:szCs w:val="28"/>
          </w:rPr>
          <w:t>10.3109/09540261.2015.1115754</w:t>
        </w:r>
      </w:hyperlink>
    </w:p>
    <w:p w14:paraId="37445A4B" w14:textId="77777777" w:rsidR="00661BDC" w:rsidRPr="00A4285C" w:rsidRDefault="00661BDC" w:rsidP="00661BDC">
      <w:pPr>
        <w:spacing w:after="0" w:line="240" w:lineRule="auto"/>
        <w:rPr>
          <w:rStyle w:val="doilink"/>
          <w:rFonts w:ascii="Times New Roman" w:hAnsi="Times New Roman" w:cs="Times New Roman"/>
          <w:color w:val="333333"/>
          <w:sz w:val="28"/>
          <w:szCs w:val="28"/>
          <w:shd w:val="clear" w:color="auto" w:fill="FFFFFF"/>
        </w:rPr>
      </w:pPr>
    </w:p>
    <w:p w14:paraId="5478049A" w14:textId="069F2AF2" w:rsidR="00661BDC" w:rsidRPr="00661BDC" w:rsidRDefault="00661BDC" w:rsidP="00661BDC">
      <w:pPr>
        <w:spacing w:after="0" w:line="240" w:lineRule="auto"/>
        <w:rPr>
          <w:rFonts w:ascii="Times New Roman" w:hAnsi="Times New Roman" w:cs="Times New Roman"/>
          <w:color w:val="333333"/>
          <w:sz w:val="24"/>
          <w:szCs w:val="24"/>
          <w:shd w:val="clear" w:color="auto" w:fill="FFFFFF"/>
        </w:rPr>
      </w:pPr>
      <w:r w:rsidRPr="002D4856">
        <w:rPr>
          <w:rStyle w:val="doilink"/>
          <w:rFonts w:ascii="Times New Roman" w:hAnsi="Times New Roman" w:cs="Times New Roman"/>
          <w:color w:val="333333"/>
          <w:sz w:val="24"/>
          <w:szCs w:val="24"/>
          <w:shd w:val="clear" w:color="auto" w:fill="FFFFFF"/>
        </w:rPr>
        <w:t>This literature explains the psychosexual development of children expressing a gender identity disorder and treatment involved. The information was provided by clinical research gathered from children with GID. The details were based on the intricate parts of children living with GID and the effects it has on childhood. Although the psychosexual can be unclear within this study, the best clinical practice is currently under debate.</w:t>
      </w:r>
    </w:p>
    <w:p w14:paraId="3D06842A" w14:textId="3E090D2F" w:rsidR="0032366C" w:rsidRPr="00A4285C" w:rsidRDefault="0032366C" w:rsidP="002E38C8">
      <w:pPr>
        <w:rPr>
          <w:rFonts w:ascii="Times New Roman" w:hAnsi="Times New Roman" w:cs="Times New Roman"/>
          <w:color w:val="202020"/>
          <w:sz w:val="28"/>
          <w:szCs w:val="28"/>
          <w:shd w:val="clear" w:color="auto" w:fill="EFEFEF"/>
        </w:rPr>
      </w:pPr>
    </w:p>
    <w:p w14:paraId="6B08EC1A" w14:textId="5E7A6DDE" w:rsidR="00B9238F" w:rsidRPr="00A4285C" w:rsidRDefault="00B9238F" w:rsidP="002E38C8">
      <w:pPr>
        <w:rPr>
          <w:rStyle w:val="doilink"/>
          <w:rFonts w:ascii="Times New Roman" w:hAnsi="Times New Roman" w:cs="Times New Roman"/>
          <w:color w:val="333333"/>
          <w:sz w:val="28"/>
          <w:szCs w:val="28"/>
          <w:shd w:val="clear" w:color="auto" w:fill="FFFFFF"/>
        </w:rPr>
      </w:pPr>
      <w:r w:rsidRPr="00A4285C">
        <w:rPr>
          <w:rStyle w:val="authors"/>
          <w:rFonts w:ascii="Times New Roman" w:hAnsi="Times New Roman" w:cs="Times New Roman"/>
          <w:color w:val="333333"/>
          <w:sz w:val="28"/>
          <w:szCs w:val="28"/>
          <w:shd w:val="clear" w:color="auto" w:fill="FFFFFF"/>
        </w:rPr>
        <w:t>Cecilia Dhejne, Roy Van Vlerken, Gunter Heylens &amp; Jon Arcelus</w:t>
      </w:r>
      <w:r w:rsidRPr="00A4285C">
        <w:rPr>
          <w:rFonts w:ascii="Times New Roman" w:hAnsi="Times New Roman" w:cs="Times New Roman"/>
          <w:color w:val="333333"/>
          <w:sz w:val="28"/>
          <w:szCs w:val="28"/>
          <w:shd w:val="clear" w:color="auto" w:fill="FFFFFF"/>
        </w:rPr>
        <w:t> </w:t>
      </w:r>
      <w:r w:rsidRPr="00A4285C">
        <w:rPr>
          <w:rStyle w:val="Date1"/>
          <w:rFonts w:ascii="Times New Roman" w:hAnsi="Times New Roman" w:cs="Times New Roman"/>
          <w:color w:val="333333"/>
          <w:sz w:val="28"/>
          <w:szCs w:val="28"/>
          <w:shd w:val="clear" w:color="auto" w:fill="FFFFFF"/>
        </w:rPr>
        <w:t>(2016)</w:t>
      </w:r>
      <w:r w:rsidRPr="00A4285C">
        <w:rPr>
          <w:rFonts w:ascii="Times New Roman" w:hAnsi="Times New Roman" w:cs="Times New Roman"/>
          <w:color w:val="333333"/>
          <w:sz w:val="28"/>
          <w:szCs w:val="28"/>
          <w:shd w:val="clear" w:color="auto" w:fill="FFFFFF"/>
        </w:rPr>
        <w:t> </w:t>
      </w:r>
      <w:r w:rsidRPr="00A4285C">
        <w:rPr>
          <w:rStyle w:val="arttitle"/>
          <w:rFonts w:ascii="Times New Roman" w:hAnsi="Times New Roman" w:cs="Times New Roman"/>
          <w:color w:val="333333"/>
          <w:sz w:val="28"/>
          <w:szCs w:val="28"/>
          <w:shd w:val="clear" w:color="auto" w:fill="FFFFFF"/>
        </w:rPr>
        <w:t>Mental health and gender dysphoria: A review of the literature,</w:t>
      </w:r>
      <w:r w:rsidRPr="00A4285C">
        <w:rPr>
          <w:rFonts w:ascii="Times New Roman" w:hAnsi="Times New Roman" w:cs="Times New Roman"/>
          <w:color w:val="333333"/>
          <w:sz w:val="28"/>
          <w:szCs w:val="28"/>
          <w:shd w:val="clear" w:color="auto" w:fill="FFFFFF"/>
        </w:rPr>
        <w:t> </w:t>
      </w:r>
      <w:r w:rsidRPr="00A4285C">
        <w:rPr>
          <w:rStyle w:val="serialtitle"/>
          <w:rFonts w:ascii="Times New Roman" w:hAnsi="Times New Roman" w:cs="Times New Roman"/>
          <w:color w:val="333333"/>
          <w:sz w:val="28"/>
          <w:szCs w:val="28"/>
          <w:shd w:val="clear" w:color="auto" w:fill="FFFFFF"/>
        </w:rPr>
        <w:t>International Review of Psychiatry,</w:t>
      </w:r>
      <w:r w:rsidRPr="00A4285C">
        <w:rPr>
          <w:rFonts w:ascii="Times New Roman" w:hAnsi="Times New Roman" w:cs="Times New Roman"/>
          <w:color w:val="333333"/>
          <w:sz w:val="28"/>
          <w:szCs w:val="28"/>
          <w:shd w:val="clear" w:color="auto" w:fill="FFFFFF"/>
        </w:rPr>
        <w:t> </w:t>
      </w:r>
      <w:r w:rsidRPr="00A4285C">
        <w:rPr>
          <w:rStyle w:val="volumeissue"/>
          <w:rFonts w:ascii="Times New Roman" w:hAnsi="Times New Roman" w:cs="Times New Roman"/>
          <w:color w:val="333333"/>
          <w:sz w:val="28"/>
          <w:szCs w:val="28"/>
          <w:shd w:val="clear" w:color="auto" w:fill="FFFFFF"/>
        </w:rPr>
        <w:t>28:1,</w:t>
      </w:r>
      <w:r w:rsidRPr="00A4285C">
        <w:rPr>
          <w:rFonts w:ascii="Times New Roman" w:hAnsi="Times New Roman" w:cs="Times New Roman"/>
          <w:color w:val="333333"/>
          <w:sz w:val="28"/>
          <w:szCs w:val="28"/>
          <w:shd w:val="clear" w:color="auto" w:fill="FFFFFF"/>
        </w:rPr>
        <w:t> </w:t>
      </w:r>
      <w:r w:rsidRPr="00A4285C">
        <w:rPr>
          <w:rStyle w:val="pagerange"/>
          <w:rFonts w:ascii="Times New Roman" w:hAnsi="Times New Roman" w:cs="Times New Roman"/>
          <w:color w:val="333333"/>
          <w:sz w:val="28"/>
          <w:szCs w:val="28"/>
          <w:shd w:val="clear" w:color="auto" w:fill="FFFFFF"/>
        </w:rPr>
        <w:t>44-57,</w:t>
      </w:r>
      <w:r w:rsidRPr="00A4285C">
        <w:rPr>
          <w:rFonts w:ascii="Times New Roman" w:hAnsi="Times New Roman" w:cs="Times New Roman"/>
          <w:color w:val="333333"/>
          <w:sz w:val="28"/>
          <w:szCs w:val="28"/>
          <w:shd w:val="clear" w:color="auto" w:fill="FFFFFF"/>
        </w:rPr>
        <w:t> </w:t>
      </w:r>
      <w:r w:rsidRPr="00A4285C">
        <w:rPr>
          <w:rStyle w:val="doilink"/>
          <w:rFonts w:ascii="Times New Roman" w:hAnsi="Times New Roman" w:cs="Times New Roman"/>
          <w:color w:val="333333"/>
          <w:sz w:val="28"/>
          <w:szCs w:val="28"/>
          <w:shd w:val="clear" w:color="auto" w:fill="FFFFFF"/>
        </w:rPr>
        <w:t>DOI: </w:t>
      </w:r>
      <w:hyperlink r:id="rId8" w:history="1">
        <w:r w:rsidRPr="00A4285C">
          <w:rPr>
            <w:rStyle w:val="Hyperlink"/>
            <w:rFonts w:ascii="Times New Roman" w:hAnsi="Times New Roman" w:cs="Times New Roman"/>
            <w:color w:val="333333"/>
            <w:sz w:val="28"/>
            <w:szCs w:val="28"/>
          </w:rPr>
          <w:t>10.3109/09540261.2015.1115753</w:t>
        </w:r>
      </w:hyperlink>
    </w:p>
    <w:p w14:paraId="7F303BF1" w14:textId="1557E555" w:rsidR="00B9238F" w:rsidRPr="00A4285C" w:rsidRDefault="00B9238F" w:rsidP="002E38C8">
      <w:pPr>
        <w:rPr>
          <w:rStyle w:val="doilink"/>
          <w:rFonts w:ascii="Times New Roman" w:hAnsi="Times New Roman" w:cs="Times New Roman"/>
          <w:color w:val="333333"/>
          <w:sz w:val="24"/>
          <w:szCs w:val="24"/>
          <w:shd w:val="clear" w:color="auto" w:fill="FFFFFF"/>
        </w:rPr>
      </w:pPr>
      <w:r w:rsidRPr="00A4285C">
        <w:rPr>
          <w:rStyle w:val="doilink"/>
          <w:rFonts w:ascii="Times New Roman" w:hAnsi="Times New Roman" w:cs="Times New Roman"/>
          <w:color w:val="333333"/>
          <w:sz w:val="24"/>
          <w:szCs w:val="24"/>
          <w:shd w:val="clear" w:color="auto" w:fill="FFFFFF"/>
        </w:rPr>
        <w:t xml:space="preserve">The authors explain how mental health </w:t>
      </w:r>
      <w:r w:rsidR="00451900" w:rsidRPr="00A4285C">
        <w:rPr>
          <w:rStyle w:val="doilink"/>
          <w:rFonts w:ascii="Times New Roman" w:hAnsi="Times New Roman" w:cs="Times New Roman"/>
          <w:color w:val="333333"/>
          <w:sz w:val="24"/>
          <w:szCs w:val="24"/>
          <w:shd w:val="clear" w:color="auto" w:fill="FFFFFF"/>
        </w:rPr>
        <w:t>affects transgender people. The article expounds on the possibilities of anxiety and depression disorder. Some studies found higher psychopathology in more trans women, however, other mental illness such as schizophrenia and bipolar disorders were rare and no more prevalent than the general population. The study is meant to show the relationship between transgenders and mental health, although the findings were that transgenders do suffer from mental disorders, however, it’s not much different than the average person. Throughout the study the variations of change</w:t>
      </w:r>
      <w:r w:rsidR="00D746CE" w:rsidRPr="00A4285C">
        <w:rPr>
          <w:rStyle w:val="doilink"/>
          <w:rFonts w:ascii="Times New Roman" w:hAnsi="Times New Roman" w:cs="Times New Roman"/>
          <w:color w:val="333333"/>
          <w:sz w:val="24"/>
          <w:szCs w:val="24"/>
          <w:shd w:val="clear" w:color="auto" w:fill="FFFFFF"/>
        </w:rPr>
        <w:t xml:space="preserve"> in mental health</w:t>
      </w:r>
      <w:r w:rsidR="00451900" w:rsidRPr="00A4285C">
        <w:rPr>
          <w:rStyle w:val="doilink"/>
          <w:rFonts w:ascii="Times New Roman" w:hAnsi="Times New Roman" w:cs="Times New Roman"/>
          <w:color w:val="333333"/>
          <w:sz w:val="24"/>
          <w:szCs w:val="24"/>
          <w:shd w:val="clear" w:color="auto" w:fill="FFFFFF"/>
        </w:rPr>
        <w:t xml:space="preserve"> during pre and post opt trans became operant. </w:t>
      </w:r>
      <w:r w:rsidR="00D746CE" w:rsidRPr="00A4285C">
        <w:rPr>
          <w:rStyle w:val="doilink"/>
          <w:rFonts w:ascii="Times New Roman" w:hAnsi="Times New Roman" w:cs="Times New Roman"/>
          <w:color w:val="333333"/>
          <w:sz w:val="24"/>
          <w:szCs w:val="24"/>
          <w:shd w:val="clear" w:color="auto" w:fill="FFFFFF"/>
        </w:rPr>
        <w:t xml:space="preserve">The authors explained rationalization of the findings. </w:t>
      </w:r>
    </w:p>
    <w:p w14:paraId="68059D88" w14:textId="3A795854" w:rsidR="00D746CE" w:rsidRPr="00A4285C" w:rsidRDefault="00D746CE" w:rsidP="002E38C8">
      <w:pPr>
        <w:rPr>
          <w:rStyle w:val="doilink"/>
          <w:rFonts w:ascii="Times New Roman" w:hAnsi="Times New Roman" w:cs="Times New Roman"/>
          <w:color w:val="333333"/>
          <w:sz w:val="28"/>
          <w:szCs w:val="28"/>
          <w:shd w:val="clear" w:color="auto" w:fill="FFFFFF"/>
        </w:rPr>
      </w:pPr>
    </w:p>
    <w:p w14:paraId="29534392" w14:textId="77777777" w:rsidR="00661BDC" w:rsidRDefault="00661BDC" w:rsidP="00D746CE">
      <w:pPr>
        <w:shd w:val="clear" w:color="auto" w:fill="FFFFFF"/>
        <w:rPr>
          <w:rStyle w:val="authors"/>
          <w:rFonts w:ascii="Times New Roman" w:hAnsi="Times New Roman" w:cs="Times New Roman"/>
          <w:color w:val="333333"/>
          <w:sz w:val="28"/>
          <w:szCs w:val="28"/>
        </w:rPr>
      </w:pPr>
    </w:p>
    <w:p w14:paraId="037016BF" w14:textId="77777777" w:rsidR="00661BDC" w:rsidRDefault="00661BDC" w:rsidP="00D746CE">
      <w:pPr>
        <w:shd w:val="clear" w:color="auto" w:fill="FFFFFF"/>
        <w:rPr>
          <w:rStyle w:val="authors"/>
          <w:rFonts w:ascii="Times New Roman" w:hAnsi="Times New Roman" w:cs="Times New Roman"/>
          <w:color w:val="333333"/>
          <w:sz w:val="28"/>
          <w:szCs w:val="28"/>
        </w:rPr>
      </w:pPr>
    </w:p>
    <w:p w14:paraId="620B69DD" w14:textId="7A53FF25" w:rsidR="00D746CE" w:rsidRPr="00A4285C" w:rsidRDefault="00D746CE" w:rsidP="00D746CE">
      <w:pPr>
        <w:shd w:val="clear" w:color="auto" w:fill="FFFFFF"/>
        <w:rPr>
          <w:rStyle w:val="doilink"/>
          <w:rFonts w:ascii="Times New Roman" w:hAnsi="Times New Roman" w:cs="Times New Roman"/>
          <w:color w:val="333333"/>
          <w:sz w:val="28"/>
          <w:szCs w:val="28"/>
        </w:rPr>
      </w:pPr>
      <w:r w:rsidRPr="00A4285C">
        <w:rPr>
          <w:rStyle w:val="authors"/>
          <w:rFonts w:ascii="Times New Roman" w:hAnsi="Times New Roman" w:cs="Times New Roman"/>
          <w:color w:val="333333"/>
          <w:sz w:val="28"/>
          <w:szCs w:val="28"/>
        </w:rPr>
        <w:t>Titia F. Beek, Peggy T. Cohen-Kettenis &amp; Baudewijntje P.C. Kreukels</w:t>
      </w:r>
      <w:r w:rsidRPr="00A4285C">
        <w:rPr>
          <w:rFonts w:ascii="Times New Roman" w:hAnsi="Times New Roman" w:cs="Times New Roman"/>
          <w:color w:val="333333"/>
          <w:sz w:val="28"/>
          <w:szCs w:val="28"/>
        </w:rPr>
        <w:t> </w:t>
      </w:r>
      <w:r w:rsidRPr="00A4285C">
        <w:rPr>
          <w:rStyle w:val="Date1"/>
          <w:rFonts w:ascii="Times New Roman" w:hAnsi="Times New Roman" w:cs="Times New Roman"/>
          <w:color w:val="333333"/>
          <w:sz w:val="28"/>
          <w:szCs w:val="28"/>
        </w:rPr>
        <w:t>(2016)</w:t>
      </w:r>
      <w:r w:rsidRPr="00A4285C">
        <w:rPr>
          <w:rFonts w:ascii="Times New Roman" w:hAnsi="Times New Roman" w:cs="Times New Roman"/>
          <w:color w:val="333333"/>
          <w:sz w:val="28"/>
          <w:szCs w:val="28"/>
        </w:rPr>
        <w:t> </w:t>
      </w:r>
      <w:r w:rsidRPr="00A4285C">
        <w:rPr>
          <w:rStyle w:val="arttitle"/>
          <w:rFonts w:ascii="Times New Roman" w:hAnsi="Times New Roman" w:cs="Times New Roman"/>
          <w:color w:val="333333"/>
          <w:sz w:val="28"/>
          <w:szCs w:val="28"/>
        </w:rPr>
        <w:t xml:space="preserve">Gender incongruence/gender dysphoria and its classification </w:t>
      </w:r>
      <w:r w:rsidRPr="00A4285C">
        <w:rPr>
          <w:rStyle w:val="arttitle"/>
          <w:rFonts w:ascii="Times New Roman" w:hAnsi="Times New Roman" w:cs="Times New Roman"/>
          <w:color w:val="333333"/>
          <w:sz w:val="28"/>
          <w:szCs w:val="28"/>
        </w:rPr>
        <w:lastRenderedPageBreak/>
        <w:t>history,</w:t>
      </w:r>
      <w:r w:rsidRPr="00A4285C">
        <w:rPr>
          <w:rFonts w:ascii="Times New Roman" w:hAnsi="Times New Roman" w:cs="Times New Roman"/>
          <w:color w:val="333333"/>
          <w:sz w:val="28"/>
          <w:szCs w:val="28"/>
        </w:rPr>
        <w:t> </w:t>
      </w:r>
      <w:r w:rsidRPr="00A4285C">
        <w:rPr>
          <w:rStyle w:val="serialtitle"/>
          <w:rFonts w:ascii="Times New Roman" w:hAnsi="Times New Roman" w:cs="Times New Roman"/>
          <w:color w:val="333333"/>
          <w:sz w:val="28"/>
          <w:szCs w:val="28"/>
        </w:rPr>
        <w:t>International Review of Psychiatry,</w:t>
      </w:r>
      <w:r w:rsidRPr="00A4285C">
        <w:rPr>
          <w:rFonts w:ascii="Times New Roman" w:hAnsi="Times New Roman" w:cs="Times New Roman"/>
          <w:color w:val="333333"/>
          <w:sz w:val="28"/>
          <w:szCs w:val="28"/>
        </w:rPr>
        <w:t> </w:t>
      </w:r>
      <w:r w:rsidRPr="00A4285C">
        <w:rPr>
          <w:rStyle w:val="volumeissue"/>
          <w:rFonts w:ascii="Times New Roman" w:hAnsi="Times New Roman" w:cs="Times New Roman"/>
          <w:color w:val="333333"/>
          <w:sz w:val="28"/>
          <w:szCs w:val="28"/>
        </w:rPr>
        <w:t>28:1,</w:t>
      </w:r>
      <w:r w:rsidRPr="00A4285C">
        <w:rPr>
          <w:rFonts w:ascii="Times New Roman" w:hAnsi="Times New Roman" w:cs="Times New Roman"/>
          <w:color w:val="333333"/>
          <w:sz w:val="28"/>
          <w:szCs w:val="28"/>
        </w:rPr>
        <w:t> </w:t>
      </w:r>
      <w:r w:rsidRPr="00A4285C">
        <w:rPr>
          <w:rStyle w:val="pagerange"/>
          <w:rFonts w:ascii="Times New Roman" w:hAnsi="Times New Roman" w:cs="Times New Roman"/>
          <w:color w:val="333333"/>
          <w:sz w:val="28"/>
          <w:szCs w:val="28"/>
        </w:rPr>
        <w:t>5-12,</w:t>
      </w:r>
      <w:r w:rsidRPr="00A4285C">
        <w:rPr>
          <w:rFonts w:ascii="Times New Roman" w:hAnsi="Times New Roman" w:cs="Times New Roman"/>
          <w:color w:val="333333"/>
          <w:sz w:val="28"/>
          <w:szCs w:val="28"/>
        </w:rPr>
        <w:t> </w:t>
      </w:r>
      <w:r w:rsidRPr="00A4285C">
        <w:rPr>
          <w:rStyle w:val="doilink"/>
          <w:rFonts w:ascii="Times New Roman" w:hAnsi="Times New Roman" w:cs="Times New Roman"/>
          <w:color w:val="333333"/>
          <w:sz w:val="28"/>
          <w:szCs w:val="28"/>
        </w:rPr>
        <w:t>DOI: </w:t>
      </w:r>
      <w:hyperlink r:id="rId9" w:history="1">
        <w:r w:rsidRPr="00A4285C">
          <w:rPr>
            <w:rStyle w:val="Hyperlink"/>
            <w:rFonts w:ascii="Times New Roman" w:hAnsi="Times New Roman" w:cs="Times New Roman"/>
            <w:color w:val="333333"/>
            <w:sz w:val="28"/>
            <w:szCs w:val="28"/>
          </w:rPr>
          <w:t>10.3109/09540261.2015.1091293</w:t>
        </w:r>
      </w:hyperlink>
    </w:p>
    <w:p w14:paraId="58B9E1C2" w14:textId="54E86F34" w:rsidR="00D746CE" w:rsidRDefault="00D746CE" w:rsidP="00D746CE">
      <w:pPr>
        <w:shd w:val="clear" w:color="auto" w:fill="FFFFFF"/>
        <w:rPr>
          <w:rStyle w:val="doilink"/>
          <w:rFonts w:ascii="Times New Roman" w:hAnsi="Times New Roman" w:cs="Times New Roman"/>
          <w:color w:val="333333"/>
          <w:sz w:val="24"/>
          <w:szCs w:val="24"/>
        </w:rPr>
      </w:pPr>
      <w:r w:rsidRPr="00A4285C">
        <w:rPr>
          <w:rStyle w:val="doilink"/>
          <w:rFonts w:ascii="Times New Roman" w:hAnsi="Times New Roman" w:cs="Times New Roman"/>
          <w:color w:val="333333"/>
          <w:sz w:val="24"/>
          <w:szCs w:val="24"/>
        </w:rPr>
        <w:t>This article explains the identity related conditions of a transgender person beginning at conceptualization. This includes childhood diagnosis and gender identity disorder. The author explains the social and political factor that inserts itself on gender disorder.</w:t>
      </w:r>
      <w:r w:rsidR="00023147" w:rsidRPr="00A4285C">
        <w:rPr>
          <w:rStyle w:val="doilink"/>
          <w:rFonts w:ascii="Times New Roman" w:hAnsi="Times New Roman" w:cs="Times New Roman"/>
          <w:color w:val="333333"/>
          <w:sz w:val="24"/>
          <w:szCs w:val="24"/>
        </w:rPr>
        <w:t xml:space="preserve"> The research for this first appeared in 1980 but later was re-written to better understand the terminology in the DSM. The earlier version was presented in the (DSM) III. The diagnostics were meant to show the relationships of mental health and gender disorder and identity related conditions over time.</w:t>
      </w:r>
    </w:p>
    <w:p w14:paraId="613FAB84" w14:textId="77777777" w:rsidR="00661BDC" w:rsidRDefault="00661BDC" w:rsidP="00661BDC">
      <w:pPr>
        <w:spacing w:after="0" w:line="240" w:lineRule="auto"/>
        <w:rPr>
          <w:rFonts w:ascii="Times New Roman" w:eastAsia="Times New Roman" w:hAnsi="Times New Roman" w:cs="Times New Roman"/>
          <w:color w:val="323232"/>
          <w:sz w:val="28"/>
          <w:szCs w:val="28"/>
          <w:shd w:val="clear" w:color="auto" w:fill="FFFFFF"/>
        </w:rPr>
      </w:pPr>
    </w:p>
    <w:p w14:paraId="160862E7" w14:textId="4D26B6CD" w:rsidR="00661BDC" w:rsidRPr="001615EF" w:rsidRDefault="00661BDC" w:rsidP="00661BDC">
      <w:pPr>
        <w:spacing w:after="0" w:line="240" w:lineRule="auto"/>
        <w:rPr>
          <w:rFonts w:ascii="Times New Roman" w:eastAsia="Times New Roman" w:hAnsi="Times New Roman" w:cs="Times New Roman"/>
          <w:sz w:val="28"/>
          <w:szCs w:val="28"/>
        </w:rPr>
      </w:pPr>
      <w:r w:rsidRPr="001615EF">
        <w:rPr>
          <w:rFonts w:ascii="Times New Roman" w:eastAsia="Times New Roman" w:hAnsi="Times New Roman" w:cs="Times New Roman"/>
          <w:color w:val="323232"/>
          <w:sz w:val="28"/>
          <w:szCs w:val="28"/>
          <w:shd w:val="clear" w:color="auto" w:fill="FFFFFF"/>
        </w:rPr>
        <w:t>Early medical treatment of children and adolescents with gender dysphoria: An empirical ethical study</w:t>
      </w:r>
    </w:p>
    <w:p w14:paraId="5AC6FF79" w14:textId="77777777" w:rsidR="00661BDC" w:rsidRPr="001615EF" w:rsidRDefault="00661BDC" w:rsidP="00661BDC">
      <w:pPr>
        <w:shd w:val="clear" w:color="auto" w:fill="FFFFFF"/>
        <w:spacing w:after="0" w:line="240" w:lineRule="auto"/>
        <w:rPr>
          <w:rFonts w:ascii="Times New Roman" w:eastAsia="Times New Roman" w:hAnsi="Times New Roman" w:cs="Times New Roman"/>
          <w:color w:val="323232"/>
          <w:sz w:val="28"/>
          <w:szCs w:val="28"/>
        </w:rPr>
      </w:pPr>
      <w:r w:rsidRPr="001615EF">
        <w:rPr>
          <w:rFonts w:ascii="Times New Roman" w:eastAsia="Times New Roman" w:hAnsi="Times New Roman" w:cs="Times New Roman"/>
          <w:color w:val="323232"/>
          <w:sz w:val="28"/>
          <w:szCs w:val="28"/>
        </w:rPr>
        <w:t>Vrouenraets L.J.J.J.</w:t>
      </w:r>
      <w:r w:rsidRPr="001615EF">
        <w:rPr>
          <w:rFonts w:ascii="Times New Roman" w:eastAsia="Times New Roman" w:hAnsi="Times New Roman" w:cs="Times New Roman"/>
          <w:color w:val="C0C0C0"/>
          <w:sz w:val="28"/>
          <w:szCs w:val="28"/>
        </w:rPr>
        <w:t>, </w:t>
      </w:r>
      <w:r w:rsidRPr="001615EF">
        <w:rPr>
          <w:rFonts w:ascii="Times New Roman" w:eastAsia="Times New Roman" w:hAnsi="Times New Roman" w:cs="Times New Roman"/>
          <w:color w:val="323232"/>
          <w:sz w:val="28"/>
          <w:szCs w:val="28"/>
        </w:rPr>
        <w:t>Fredriks A.M.</w:t>
      </w:r>
      <w:r w:rsidRPr="001615EF">
        <w:rPr>
          <w:rFonts w:ascii="Times New Roman" w:eastAsia="Times New Roman" w:hAnsi="Times New Roman" w:cs="Times New Roman"/>
          <w:color w:val="C0C0C0"/>
          <w:sz w:val="28"/>
          <w:szCs w:val="28"/>
        </w:rPr>
        <w:t>, </w:t>
      </w:r>
      <w:r w:rsidRPr="001615EF">
        <w:rPr>
          <w:rFonts w:ascii="Times New Roman" w:eastAsia="Times New Roman" w:hAnsi="Times New Roman" w:cs="Times New Roman"/>
          <w:color w:val="323232"/>
          <w:sz w:val="28"/>
          <w:szCs w:val="28"/>
        </w:rPr>
        <w:t>Hannema S.E.</w:t>
      </w:r>
      <w:r w:rsidRPr="001615EF">
        <w:rPr>
          <w:rFonts w:ascii="Times New Roman" w:eastAsia="Times New Roman" w:hAnsi="Times New Roman" w:cs="Times New Roman"/>
          <w:color w:val="C0C0C0"/>
          <w:sz w:val="28"/>
          <w:szCs w:val="28"/>
        </w:rPr>
        <w:t>, </w:t>
      </w:r>
      <w:r w:rsidRPr="001615EF">
        <w:rPr>
          <w:rFonts w:ascii="Times New Roman" w:eastAsia="Times New Roman" w:hAnsi="Times New Roman" w:cs="Times New Roman"/>
          <w:color w:val="323232"/>
          <w:sz w:val="28"/>
          <w:szCs w:val="28"/>
        </w:rPr>
        <w:t>Cohen-Kettenis P.T.</w:t>
      </w:r>
      <w:r w:rsidRPr="001615EF">
        <w:rPr>
          <w:rFonts w:ascii="Times New Roman" w:eastAsia="Times New Roman" w:hAnsi="Times New Roman" w:cs="Times New Roman"/>
          <w:color w:val="C0C0C0"/>
          <w:sz w:val="28"/>
          <w:szCs w:val="28"/>
        </w:rPr>
        <w:t>, </w:t>
      </w:r>
      <w:r w:rsidRPr="001615EF">
        <w:rPr>
          <w:rFonts w:ascii="Times New Roman" w:eastAsia="Times New Roman" w:hAnsi="Times New Roman" w:cs="Times New Roman"/>
          <w:color w:val="323232"/>
          <w:sz w:val="28"/>
          <w:szCs w:val="28"/>
        </w:rPr>
        <w:t>De Vries M.C.</w:t>
      </w:r>
    </w:p>
    <w:p w14:paraId="1F43B0B5" w14:textId="77777777" w:rsidR="00661BDC" w:rsidRPr="00A4285C" w:rsidRDefault="00661BDC" w:rsidP="00661BDC">
      <w:pPr>
        <w:shd w:val="clear" w:color="auto" w:fill="FFFFFF"/>
        <w:spacing w:after="0" w:line="240" w:lineRule="auto"/>
        <w:rPr>
          <w:rFonts w:ascii="Times New Roman" w:eastAsia="Times New Roman" w:hAnsi="Times New Roman" w:cs="Times New Roman"/>
          <w:color w:val="323232"/>
          <w:sz w:val="28"/>
          <w:szCs w:val="28"/>
        </w:rPr>
      </w:pPr>
      <w:r w:rsidRPr="001615EF">
        <w:rPr>
          <w:rFonts w:ascii="Times New Roman" w:eastAsia="Times New Roman" w:hAnsi="Times New Roman" w:cs="Times New Roman"/>
          <w:color w:val="323232"/>
          <w:sz w:val="28"/>
          <w:szCs w:val="28"/>
        </w:rPr>
        <w:t xml:space="preserve">(2015) </w:t>
      </w:r>
      <w:r w:rsidRPr="001615EF">
        <w:rPr>
          <w:rFonts w:ascii="Times New Roman" w:eastAsia="Times New Roman" w:hAnsi="Times New Roman" w:cs="Times New Roman"/>
          <w:i/>
          <w:iCs/>
          <w:color w:val="323232"/>
          <w:sz w:val="28"/>
          <w:szCs w:val="28"/>
        </w:rPr>
        <w:t>Journal of Adolescent Health</w:t>
      </w:r>
      <w:r w:rsidRPr="001615EF">
        <w:rPr>
          <w:rFonts w:ascii="Times New Roman" w:eastAsia="Times New Roman" w:hAnsi="Times New Roman" w:cs="Times New Roman"/>
          <w:color w:val="323232"/>
          <w:sz w:val="28"/>
          <w:szCs w:val="28"/>
        </w:rPr>
        <w:t>,</w:t>
      </w:r>
      <w:r w:rsidRPr="00A4285C">
        <w:rPr>
          <w:rFonts w:ascii="Times New Roman" w:eastAsia="Times New Roman" w:hAnsi="Times New Roman" w:cs="Times New Roman"/>
          <w:color w:val="323232"/>
          <w:sz w:val="28"/>
          <w:szCs w:val="28"/>
        </w:rPr>
        <w:t xml:space="preserve"> </w:t>
      </w:r>
      <w:r w:rsidRPr="001615EF">
        <w:rPr>
          <w:rFonts w:ascii="Times New Roman" w:eastAsia="Times New Roman" w:hAnsi="Times New Roman" w:cs="Times New Roman"/>
          <w:color w:val="323232"/>
          <w:sz w:val="28"/>
          <w:szCs w:val="28"/>
        </w:rPr>
        <w:t>57 (4), pp. 367-373.</w:t>
      </w:r>
    </w:p>
    <w:p w14:paraId="02DECAE0" w14:textId="77777777" w:rsidR="00661BDC" w:rsidRPr="00A4285C" w:rsidRDefault="00661BDC" w:rsidP="00661BDC">
      <w:pPr>
        <w:shd w:val="clear" w:color="auto" w:fill="FFFFFF"/>
        <w:spacing w:after="0" w:line="240" w:lineRule="auto"/>
        <w:rPr>
          <w:rFonts w:ascii="Times New Roman" w:eastAsia="Times New Roman" w:hAnsi="Times New Roman" w:cs="Times New Roman"/>
          <w:color w:val="323232"/>
          <w:sz w:val="28"/>
          <w:szCs w:val="28"/>
        </w:rPr>
      </w:pPr>
    </w:p>
    <w:p w14:paraId="73FEEE49" w14:textId="6B162F6F" w:rsidR="00661BDC" w:rsidRPr="00661BDC" w:rsidRDefault="00661BDC" w:rsidP="00661BDC">
      <w:pPr>
        <w:shd w:val="clear" w:color="auto" w:fill="FFFFFF"/>
        <w:spacing w:after="0" w:line="240" w:lineRule="auto"/>
        <w:rPr>
          <w:rStyle w:val="doilink"/>
          <w:rFonts w:ascii="Times New Roman" w:eastAsia="Times New Roman" w:hAnsi="Times New Roman" w:cs="Times New Roman"/>
          <w:color w:val="323232"/>
          <w:sz w:val="24"/>
          <w:szCs w:val="24"/>
        </w:rPr>
      </w:pPr>
      <w:r w:rsidRPr="00A4285C">
        <w:rPr>
          <w:rFonts w:ascii="Times New Roman" w:eastAsia="Times New Roman" w:hAnsi="Times New Roman" w:cs="Times New Roman"/>
          <w:color w:val="323232"/>
          <w:sz w:val="24"/>
          <w:szCs w:val="24"/>
        </w:rPr>
        <w:t xml:space="preserve">The study was based on the guidelines of adolescents with gender dysphoria with recommended use of hormone suppressants. The study and articles published discussed whether it was safe for adolescents to use the hormone suppressants early in the stage of GID. The authors explained that the social construct, or mental illness, the role of the physiological puberty in developing GID, the nature of GID, the role of comorbidity, Possibly physical and psychological effects from early medical intervention, child competence and decision making and the role of social context how GD is perceived. The guidelines of the study is debatable whether far right or far left. </w:t>
      </w:r>
    </w:p>
    <w:p w14:paraId="2F4EC559" w14:textId="7BF5BF98" w:rsidR="00023147" w:rsidRPr="00A4285C" w:rsidRDefault="00023147" w:rsidP="00D746CE">
      <w:pPr>
        <w:shd w:val="clear" w:color="auto" w:fill="FFFFFF"/>
        <w:rPr>
          <w:rStyle w:val="doilink"/>
          <w:rFonts w:ascii="Times New Roman" w:hAnsi="Times New Roman" w:cs="Times New Roman"/>
          <w:color w:val="333333"/>
          <w:sz w:val="28"/>
          <w:szCs w:val="28"/>
        </w:rPr>
      </w:pPr>
    </w:p>
    <w:p w14:paraId="1DC42960" w14:textId="12E51B48" w:rsidR="00023147" w:rsidRPr="00A4285C" w:rsidRDefault="00023147" w:rsidP="00D746CE">
      <w:pPr>
        <w:shd w:val="clear" w:color="auto" w:fill="FFFFFF"/>
        <w:rPr>
          <w:rFonts w:ascii="Times New Roman" w:hAnsi="Times New Roman" w:cs="Times New Roman"/>
          <w:color w:val="202020"/>
          <w:sz w:val="28"/>
          <w:szCs w:val="28"/>
          <w:shd w:val="clear" w:color="auto" w:fill="FFFFFF"/>
        </w:rPr>
      </w:pPr>
      <w:r w:rsidRPr="00A4285C">
        <w:rPr>
          <w:rFonts w:ascii="Times New Roman" w:hAnsi="Times New Roman" w:cs="Times New Roman"/>
          <w:color w:val="202020"/>
          <w:sz w:val="28"/>
          <w:szCs w:val="28"/>
          <w:shd w:val="clear" w:color="auto" w:fill="FFFFFF"/>
        </w:rPr>
        <w:t>de Vries ALC, McGuire JK, Steensma TD, Wagenaar ECF, Doreleijers TAH, Cohen-Kettenis PT. Young adult psychological outcome after puberty suppression and gender reassignment. Pediatrics. 2014; 134 (4): 696–704. pmid:25201798</w:t>
      </w:r>
    </w:p>
    <w:p w14:paraId="1B670729" w14:textId="77777777" w:rsidR="00FF4270" w:rsidRPr="00A4285C" w:rsidRDefault="00023147" w:rsidP="00D746CE">
      <w:pPr>
        <w:shd w:val="clear" w:color="auto" w:fill="FFFFFF"/>
        <w:rPr>
          <w:rFonts w:ascii="Times New Roman" w:hAnsi="Times New Roman" w:cs="Times New Roman"/>
          <w:color w:val="202020"/>
          <w:sz w:val="24"/>
          <w:szCs w:val="24"/>
          <w:shd w:val="clear" w:color="auto" w:fill="FFFFFF"/>
        </w:rPr>
      </w:pPr>
      <w:r w:rsidRPr="00A4285C">
        <w:rPr>
          <w:rFonts w:ascii="Times New Roman" w:hAnsi="Times New Roman" w:cs="Times New Roman"/>
          <w:color w:val="202020"/>
          <w:sz w:val="24"/>
          <w:szCs w:val="24"/>
          <w:shd w:val="clear" w:color="auto" w:fill="FFFFFF"/>
        </w:rPr>
        <w:t xml:space="preserve">The study </w:t>
      </w:r>
      <w:r w:rsidR="007A7125" w:rsidRPr="00A4285C">
        <w:rPr>
          <w:rFonts w:ascii="Times New Roman" w:hAnsi="Times New Roman" w:cs="Times New Roman"/>
          <w:color w:val="202020"/>
          <w:sz w:val="24"/>
          <w:szCs w:val="24"/>
          <w:shd w:val="clear" w:color="auto" w:fill="FFFFFF"/>
        </w:rPr>
        <w:t>involves transgender adolescents pre and post opt</w:t>
      </w:r>
      <w:r w:rsidR="00FF4270" w:rsidRPr="00A4285C">
        <w:rPr>
          <w:rFonts w:ascii="Times New Roman" w:hAnsi="Times New Roman" w:cs="Times New Roman"/>
          <w:color w:val="202020"/>
          <w:sz w:val="24"/>
          <w:szCs w:val="24"/>
          <w:shd w:val="clear" w:color="auto" w:fill="FFFFFF"/>
        </w:rPr>
        <w:t xml:space="preserve"> procedure</w:t>
      </w:r>
      <w:r w:rsidR="007A7125" w:rsidRPr="00A4285C">
        <w:rPr>
          <w:rFonts w:ascii="Times New Roman" w:hAnsi="Times New Roman" w:cs="Times New Roman"/>
          <w:color w:val="202020"/>
          <w:sz w:val="24"/>
          <w:szCs w:val="24"/>
          <w:shd w:val="clear" w:color="auto" w:fill="FFFFFF"/>
        </w:rPr>
        <w:t>. The study is meant to determine the quality of life for people with gender disorders after their surgical procedure. It goes on to explain that if the adolescent is experiencing gender disorder for 2 years</w:t>
      </w:r>
      <w:r w:rsidR="00FF4270" w:rsidRPr="00A4285C">
        <w:rPr>
          <w:rFonts w:ascii="Times New Roman" w:hAnsi="Times New Roman" w:cs="Times New Roman"/>
          <w:color w:val="202020"/>
          <w:sz w:val="24"/>
          <w:szCs w:val="24"/>
          <w:shd w:val="clear" w:color="auto" w:fill="FFFFFF"/>
        </w:rPr>
        <w:t xml:space="preserve"> or more</w:t>
      </w:r>
      <w:r w:rsidR="007A7125" w:rsidRPr="00A4285C">
        <w:rPr>
          <w:rFonts w:ascii="Times New Roman" w:hAnsi="Times New Roman" w:cs="Times New Roman"/>
          <w:color w:val="202020"/>
          <w:sz w:val="24"/>
          <w:szCs w:val="24"/>
          <w:shd w:val="clear" w:color="auto" w:fill="FFFFFF"/>
        </w:rPr>
        <w:t>, then forgoing the puberty suppression and engaging in the surgical procedure, which the study shows adds quality of life</w:t>
      </w:r>
      <w:r w:rsidR="00FF4270" w:rsidRPr="00A4285C">
        <w:rPr>
          <w:rFonts w:ascii="Times New Roman" w:hAnsi="Times New Roman" w:cs="Times New Roman"/>
          <w:color w:val="202020"/>
          <w:sz w:val="24"/>
          <w:szCs w:val="24"/>
          <w:shd w:val="clear" w:color="auto" w:fill="FFFFFF"/>
        </w:rPr>
        <w:t xml:space="preserve"> and is more effective through counseling and systematic approach.</w:t>
      </w:r>
    </w:p>
    <w:p w14:paraId="62E5A7CE" w14:textId="1F636267" w:rsidR="006B501E" w:rsidRPr="00A4285C" w:rsidRDefault="006B501E" w:rsidP="00D746CE">
      <w:pPr>
        <w:shd w:val="clear" w:color="auto" w:fill="FFFFFF"/>
        <w:rPr>
          <w:rFonts w:ascii="Times New Roman" w:hAnsi="Times New Roman" w:cs="Times New Roman"/>
          <w:color w:val="00313C"/>
          <w:sz w:val="28"/>
          <w:szCs w:val="28"/>
          <w:shd w:val="clear" w:color="auto" w:fill="FFFFFF"/>
        </w:rPr>
      </w:pPr>
    </w:p>
    <w:p w14:paraId="3D062030" w14:textId="77777777" w:rsidR="00661BDC" w:rsidRPr="00661BDC" w:rsidRDefault="00661BDC" w:rsidP="00661BDC">
      <w:pPr>
        <w:shd w:val="clear" w:color="auto" w:fill="FFFFFF"/>
        <w:rPr>
          <w:rFonts w:ascii="Times New Roman" w:hAnsi="Times New Roman" w:cs="Times New Roman"/>
          <w:color w:val="333333"/>
          <w:sz w:val="24"/>
          <w:szCs w:val="24"/>
        </w:rPr>
      </w:pPr>
    </w:p>
    <w:p w14:paraId="73B39A15" w14:textId="77777777" w:rsidR="00661BDC" w:rsidRDefault="00661BDC" w:rsidP="00164899">
      <w:pPr>
        <w:spacing w:after="0" w:line="240" w:lineRule="auto"/>
        <w:rPr>
          <w:rFonts w:ascii="Times New Roman" w:eastAsia="Times New Roman" w:hAnsi="Times New Roman" w:cs="Times New Roman"/>
          <w:color w:val="323232"/>
          <w:sz w:val="28"/>
          <w:szCs w:val="28"/>
        </w:rPr>
      </w:pPr>
    </w:p>
    <w:p w14:paraId="0E0F65CC" w14:textId="570E0ABA" w:rsidR="00661BDC" w:rsidRDefault="00661BDC" w:rsidP="00164899">
      <w:pPr>
        <w:spacing w:after="0" w:line="240" w:lineRule="auto"/>
        <w:rPr>
          <w:rFonts w:ascii="Times New Roman" w:eastAsia="Times New Roman" w:hAnsi="Times New Roman" w:cs="Times New Roman"/>
          <w:color w:val="323232"/>
          <w:sz w:val="28"/>
          <w:szCs w:val="28"/>
        </w:rPr>
      </w:pPr>
    </w:p>
    <w:p w14:paraId="50BE5EB5" w14:textId="77777777" w:rsidR="00B56E67" w:rsidRDefault="00B56E67" w:rsidP="00164899">
      <w:pPr>
        <w:spacing w:after="0" w:line="240" w:lineRule="auto"/>
        <w:rPr>
          <w:rFonts w:ascii="Times New Roman" w:eastAsia="Times New Roman" w:hAnsi="Times New Roman" w:cs="Times New Roman"/>
          <w:color w:val="323232"/>
          <w:sz w:val="28"/>
          <w:szCs w:val="28"/>
        </w:rPr>
      </w:pPr>
    </w:p>
    <w:p w14:paraId="08EBBF14" w14:textId="77777777" w:rsidR="00B56E67" w:rsidRDefault="00B56E67" w:rsidP="00164899">
      <w:pPr>
        <w:spacing w:after="0" w:line="240" w:lineRule="auto"/>
        <w:rPr>
          <w:rFonts w:ascii="Times New Roman" w:eastAsia="Times New Roman" w:hAnsi="Times New Roman" w:cs="Times New Roman"/>
          <w:color w:val="323232"/>
          <w:sz w:val="28"/>
          <w:szCs w:val="28"/>
        </w:rPr>
      </w:pPr>
    </w:p>
    <w:p w14:paraId="0AB49502" w14:textId="47B86AF3" w:rsidR="00164899" w:rsidRPr="00164899" w:rsidRDefault="00164899" w:rsidP="00164899">
      <w:pPr>
        <w:spacing w:after="0" w:line="240" w:lineRule="auto"/>
        <w:rPr>
          <w:rFonts w:ascii="Times New Roman" w:eastAsia="Times New Roman" w:hAnsi="Times New Roman" w:cs="Times New Roman"/>
          <w:color w:val="323232"/>
          <w:sz w:val="28"/>
          <w:szCs w:val="28"/>
        </w:rPr>
      </w:pPr>
      <w:r w:rsidRPr="00164899">
        <w:rPr>
          <w:rFonts w:ascii="Times New Roman" w:eastAsia="Times New Roman" w:hAnsi="Times New Roman" w:cs="Times New Roman"/>
          <w:color w:val="323232"/>
          <w:sz w:val="28"/>
          <w:szCs w:val="28"/>
        </w:rPr>
        <w:lastRenderedPageBreak/>
        <w:t>C. Dhejne, K. Oberg, S. Arver, </w:t>
      </w:r>
      <w:r w:rsidRPr="00164899">
        <w:rPr>
          <w:rFonts w:ascii="Times New Roman" w:eastAsia="Times New Roman" w:hAnsi="Times New Roman" w:cs="Times New Roman"/>
          <w:i/>
          <w:iCs/>
          <w:color w:val="323232"/>
          <w:sz w:val="28"/>
          <w:szCs w:val="28"/>
        </w:rPr>
        <w:t>et al.</w:t>
      </w:r>
      <w:r w:rsidR="005F029B" w:rsidRPr="00A4285C">
        <w:rPr>
          <w:rFonts w:ascii="Times New Roman" w:eastAsia="Times New Roman" w:hAnsi="Times New Roman" w:cs="Times New Roman"/>
          <w:i/>
          <w:iCs/>
          <w:color w:val="323232"/>
          <w:sz w:val="28"/>
          <w:szCs w:val="28"/>
        </w:rPr>
        <w:t xml:space="preserve"> </w:t>
      </w:r>
      <w:r w:rsidRPr="00164899">
        <w:rPr>
          <w:rFonts w:ascii="Times New Roman" w:eastAsia="Times New Roman" w:hAnsi="Times New Roman" w:cs="Times New Roman"/>
          <w:b/>
          <w:bCs/>
          <w:color w:val="323232"/>
          <w:sz w:val="28"/>
          <w:szCs w:val="28"/>
        </w:rPr>
        <w:t>An analysis of all applications for sex reassignment surgery in Sweden, 1960–2010: prevalence, incidence, and regrets</w:t>
      </w:r>
    </w:p>
    <w:p w14:paraId="4CC51A75" w14:textId="05A25CA5" w:rsidR="00164899" w:rsidRPr="00A4285C" w:rsidRDefault="00164899" w:rsidP="00164899">
      <w:pPr>
        <w:spacing w:after="0" w:line="240" w:lineRule="auto"/>
        <w:rPr>
          <w:rFonts w:ascii="Times New Roman" w:eastAsia="Times New Roman" w:hAnsi="Times New Roman" w:cs="Times New Roman"/>
          <w:color w:val="323232"/>
          <w:sz w:val="28"/>
          <w:szCs w:val="28"/>
        </w:rPr>
      </w:pPr>
      <w:r w:rsidRPr="00164899">
        <w:rPr>
          <w:rFonts w:ascii="Times New Roman" w:eastAsia="Times New Roman" w:hAnsi="Times New Roman" w:cs="Times New Roman"/>
          <w:color w:val="323232"/>
          <w:sz w:val="28"/>
          <w:szCs w:val="28"/>
        </w:rPr>
        <w:t>Arch Sex Behav, 43 (2014), pp. 1535-1545</w:t>
      </w:r>
    </w:p>
    <w:p w14:paraId="06ED88C2" w14:textId="5D2CD862" w:rsidR="005F029B" w:rsidRPr="00A4285C" w:rsidRDefault="005F029B" w:rsidP="00164899">
      <w:pPr>
        <w:spacing w:after="0" w:line="240" w:lineRule="auto"/>
        <w:rPr>
          <w:rFonts w:ascii="Times New Roman" w:eastAsia="Times New Roman" w:hAnsi="Times New Roman" w:cs="Times New Roman"/>
          <w:color w:val="323232"/>
          <w:sz w:val="28"/>
          <w:szCs w:val="28"/>
        </w:rPr>
      </w:pPr>
    </w:p>
    <w:p w14:paraId="1C7606B0" w14:textId="480230AA" w:rsidR="005F029B" w:rsidRPr="00A4285C" w:rsidRDefault="005F029B" w:rsidP="00164899">
      <w:pPr>
        <w:spacing w:after="0" w:line="240" w:lineRule="auto"/>
        <w:rPr>
          <w:rFonts w:ascii="Times New Roman" w:eastAsia="Times New Roman" w:hAnsi="Times New Roman" w:cs="Times New Roman"/>
          <w:color w:val="323232"/>
          <w:sz w:val="24"/>
          <w:szCs w:val="24"/>
        </w:rPr>
      </w:pPr>
      <w:r w:rsidRPr="00A4285C">
        <w:rPr>
          <w:rFonts w:ascii="Times New Roman" w:eastAsia="Times New Roman" w:hAnsi="Times New Roman" w:cs="Times New Roman"/>
          <w:color w:val="323232"/>
          <w:sz w:val="24"/>
          <w:szCs w:val="24"/>
        </w:rPr>
        <w:t xml:space="preserve">This study measured the prevalent cases of the surgical procedures of </w:t>
      </w:r>
      <w:r w:rsidR="00ED63B4" w:rsidRPr="00A4285C">
        <w:rPr>
          <w:rFonts w:ascii="Times New Roman" w:eastAsia="Times New Roman" w:hAnsi="Times New Roman" w:cs="Times New Roman"/>
          <w:color w:val="323232"/>
          <w:sz w:val="24"/>
          <w:szCs w:val="24"/>
        </w:rPr>
        <w:t xml:space="preserve">male to female (MF) and female to male (FM). The study explained that there were more cases of MF than FM and high sex reassignment rate. The study also explained the rate of regret or wanted a reversal of sexual reassignment was a low 2.2%. The study was meant to show that people who have made gone through with the reassignment surgery felt they made the right decision and that the surgical procedure is in high demand. </w:t>
      </w:r>
    </w:p>
    <w:p w14:paraId="53C00C86" w14:textId="0F9B53E0" w:rsidR="00FE6993" w:rsidRDefault="00FE6993" w:rsidP="00164899">
      <w:pPr>
        <w:spacing w:after="0" w:line="240" w:lineRule="auto"/>
        <w:rPr>
          <w:rFonts w:ascii="Times New Roman" w:eastAsia="Times New Roman" w:hAnsi="Times New Roman" w:cs="Times New Roman"/>
          <w:color w:val="323232"/>
          <w:sz w:val="28"/>
          <w:szCs w:val="28"/>
        </w:rPr>
      </w:pPr>
    </w:p>
    <w:p w14:paraId="54ED8001" w14:textId="36549914" w:rsidR="00661BDC" w:rsidRDefault="00661BDC" w:rsidP="00164899">
      <w:pPr>
        <w:spacing w:after="0" w:line="240" w:lineRule="auto"/>
        <w:rPr>
          <w:rFonts w:ascii="Times New Roman" w:eastAsia="Times New Roman" w:hAnsi="Times New Roman" w:cs="Times New Roman"/>
          <w:color w:val="323232"/>
          <w:sz w:val="28"/>
          <w:szCs w:val="28"/>
        </w:rPr>
      </w:pPr>
    </w:p>
    <w:p w14:paraId="756A3F88" w14:textId="77777777" w:rsidR="00B56E67" w:rsidRDefault="00B56E67" w:rsidP="00661BDC">
      <w:pPr>
        <w:shd w:val="clear" w:color="auto" w:fill="FFFFFF"/>
        <w:rPr>
          <w:rStyle w:val="authors"/>
          <w:rFonts w:ascii="Times New Roman" w:hAnsi="Times New Roman" w:cs="Times New Roman"/>
          <w:color w:val="333333"/>
          <w:sz w:val="28"/>
          <w:szCs w:val="28"/>
        </w:rPr>
      </w:pPr>
    </w:p>
    <w:p w14:paraId="098829CE" w14:textId="77777777" w:rsidR="00B56E67" w:rsidRDefault="00B56E67" w:rsidP="00661BDC">
      <w:pPr>
        <w:shd w:val="clear" w:color="auto" w:fill="FFFFFF"/>
        <w:rPr>
          <w:rStyle w:val="authors"/>
          <w:rFonts w:ascii="Times New Roman" w:hAnsi="Times New Roman" w:cs="Times New Roman"/>
          <w:color w:val="333333"/>
          <w:sz w:val="28"/>
          <w:szCs w:val="28"/>
        </w:rPr>
      </w:pPr>
    </w:p>
    <w:p w14:paraId="0EF0ED68" w14:textId="08143028" w:rsidR="00661BDC" w:rsidRPr="00A4285C" w:rsidRDefault="00661BDC" w:rsidP="00661BDC">
      <w:pPr>
        <w:shd w:val="clear" w:color="auto" w:fill="FFFFFF"/>
        <w:rPr>
          <w:rStyle w:val="doilink"/>
          <w:rFonts w:ascii="Times New Roman" w:hAnsi="Times New Roman" w:cs="Times New Roman"/>
          <w:color w:val="333333"/>
          <w:sz w:val="28"/>
          <w:szCs w:val="28"/>
        </w:rPr>
      </w:pPr>
      <w:r w:rsidRPr="00A4285C">
        <w:rPr>
          <w:rStyle w:val="authors"/>
          <w:rFonts w:ascii="Times New Roman" w:hAnsi="Times New Roman" w:cs="Times New Roman"/>
          <w:color w:val="333333"/>
          <w:sz w:val="28"/>
          <w:szCs w:val="28"/>
        </w:rPr>
        <w:t>Kenneth J. Zucker, Susan J. Bradley, Allison Owen-Anderson, Sarah J. Kibblewhite, Hayley Wood, Devita Singh &amp; Kathryn Choi</w:t>
      </w:r>
      <w:r w:rsidRPr="00A4285C">
        <w:rPr>
          <w:rFonts w:ascii="Times New Roman" w:hAnsi="Times New Roman" w:cs="Times New Roman"/>
          <w:color w:val="333333"/>
          <w:sz w:val="28"/>
          <w:szCs w:val="28"/>
        </w:rPr>
        <w:t> </w:t>
      </w:r>
      <w:r w:rsidRPr="00A4285C">
        <w:rPr>
          <w:rStyle w:val="Date1"/>
          <w:rFonts w:ascii="Times New Roman" w:hAnsi="Times New Roman" w:cs="Times New Roman"/>
          <w:color w:val="333333"/>
          <w:sz w:val="28"/>
          <w:szCs w:val="28"/>
        </w:rPr>
        <w:t>(2012)</w:t>
      </w:r>
      <w:r w:rsidRPr="00A4285C">
        <w:rPr>
          <w:rFonts w:ascii="Times New Roman" w:hAnsi="Times New Roman" w:cs="Times New Roman"/>
          <w:color w:val="333333"/>
          <w:sz w:val="28"/>
          <w:szCs w:val="28"/>
        </w:rPr>
        <w:t> </w:t>
      </w:r>
      <w:r w:rsidRPr="00A4285C">
        <w:rPr>
          <w:rStyle w:val="arttitle"/>
          <w:rFonts w:ascii="Times New Roman" w:hAnsi="Times New Roman" w:cs="Times New Roman"/>
          <w:color w:val="333333"/>
          <w:sz w:val="28"/>
          <w:szCs w:val="28"/>
        </w:rPr>
        <w:t>Demographics, Behavior Problems, and Psychosexual Characteristics of Adolescents with Gender Identity Disorder or Transvestic Fetishism,</w:t>
      </w:r>
      <w:r w:rsidRPr="00A4285C">
        <w:rPr>
          <w:rFonts w:ascii="Times New Roman" w:hAnsi="Times New Roman" w:cs="Times New Roman"/>
          <w:color w:val="333333"/>
          <w:sz w:val="28"/>
          <w:szCs w:val="28"/>
        </w:rPr>
        <w:t> </w:t>
      </w:r>
      <w:r w:rsidRPr="00A4285C">
        <w:rPr>
          <w:rStyle w:val="serialtitle"/>
          <w:rFonts w:ascii="Times New Roman" w:hAnsi="Times New Roman" w:cs="Times New Roman"/>
          <w:color w:val="333333"/>
          <w:sz w:val="28"/>
          <w:szCs w:val="28"/>
        </w:rPr>
        <w:t>Journal of Sex &amp; Marital Therapy,</w:t>
      </w:r>
      <w:r w:rsidRPr="00A4285C">
        <w:rPr>
          <w:rFonts w:ascii="Times New Roman" w:hAnsi="Times New Roman" w:cs="Times New Roman"/>
          <w:color w:val="333333"/>
          <w:sz w:val="28"/>
          <w:szCs w:val="28"/>
        </w:rPr>
        <w:t> </w:t>
      </w:r>
      <w:r w:rsidRPr="00A4285C">
        <w:rPr>
          <w:rStyle w:val="volumeissue"/>
          <w:rFonts w:ascii="Times New Roman" w:hAnsi="Times New Roman" w:cs="Times New Roman"/>
          <w:color w:val="333333"/>
          <w:sz w:val="28"/>
          <w:szCs w:val="28"/>
        </w:rPr>
        <w:t>38:2,</w:t>
      </w:r>
      <w:r w:rsidRPr="00A4285C">
        <w:rPr>
          <w:rFonts w:ascii="Times New Roman" w:hAnsi="Times New Roman" w:cs="Times New Roman"/>
          <w:color w:val="333333"/>
          <w:sz w:val="28"/>
          <w:szCs w:val="28"/>
        </w:rPr>
        <w:t> </w:t>
      </w:r>
      <w:r w:rsidRPr="00A4285C">
        <w:rPr>
          <w:rStyle w:val="pagerange"/>
          <w:rFonts w:ascii="Times New Roman" w:hAnsi="Times New Roman" w:cs="Times New Roman"/>
          <w:color w:val="333333"/>
          <w:sz w:val="28"/>
          <w:szCs w:val="28"/>
        </w:rPr>
        <w:t>151-189,</w:t>
      </w:r>
      <w:r w:rsidRPr="00A4285C">
        <w:rPr>
          <w:rFonts w:ascii="Times New Roman" w:hAnsi="Times New Roman" w:cs="Times New Roman"/>
          <w:color w:val="333333"/>
          <w:sz w:val="28"/>
          <w:szCs w:val="28"/>
        </w:rPr>
        <w:t> </w:t>
      </w:r>
      <w:r w:rsidRPr="00A4285C">
        <w:rPr>
          <w:rStyle w:val="doilink"/>
          <w:rFonts w:ascii="Times New Roman" w:hAnsi="Times New Roman" w:cs="Times New Roman"/>
          <w:color w:val="333333"/>
          <w:sz w:val="28"/>
          <w:szCs w:val="28"/>
        </w:rPr>
        <w:t>DOI: </w:t>
      </w:r>
      <w:hyperlink r:id="rId10" w:history="1">
        <w:r w:rsidRPr="00A4285C">
          <w:rPr>
            <w:rStyle w:val="Hyperlink"/>
            <w:rFonts w:ascii="Times New Roman" w:hAnsi="Times New Roman" w:cs="Times New Roman"/>
            <w:color w:val="333333"/>
            <w:sz w:val="28"/>
            <w:szCs w:val="28"/>
          </w:rPr>
          <w:t>10.1080/0092623X.2011.611219</w:t>
        </w:r>
      </w:hyperlink>
    </w:p>
    <w:p w14:paraId="4BD05FEF" w14:textId="77777777" w:rsidR="00661BDC" w:rsidRDefault="00661BDC" w:rsidP="00661BDC">
      <w:pPr>
        <w:shd w:val="clear" w:color="auto" w:fill="FFFFFF"/>
        <w:rPr>
          <w:rFonts w:ascii="Times New Roman" w:hAnsi="Times New Roman" w:cs="Times New Roman"/>
          <w:color w:val="333333"/>
          <w:sz w:val="24"/>
          <w:szCs w:val="24"/>
        </w:rPr>
      </w:pPr>
      <w:r w:rsidRPr="00A4285C">
        <w:rPr>
          <w:rStyle w:val="doilink"/>
          <w:rFonts w:ascii="Times New Roman" w:hAnsi="Times New Roman" w:cs="Times New Roman"/>
          <w:color w:val="333333"/>
          <w:sz w:val="24"/>
          <w:szCs w:val="24"/>
        </w:rPr>
        <w:t>This study explained the data that was compounded on adolescents referred for gender identity disorder. The study also explains how males with gender identity disorder and males with transvestic fetishism had high rates of behavioral problems. Also, gender identity disorder males reported having more of a transvestic fetishism than gender identity disorder. The study explains that some of the youth did not relate to homosexual desires but did have transvestic fetishes. The adolescent’s females seemed to have high rates of homosexuality and gender disorder than males. The studies show that most of the youth desired cross-sex hormonal treatment and or sex reassignment surgery. The adolescents did not want parental guidance during the study.</w:t>
      </w:r>
    </w:p>
    <w:p w14:paraId="668171A0" w14:textId="77777777" w:rsidR="00661BDC" w:rsidRPr="00A4285C" w:rsidRDefault="00661BDC" w:rsidP="00164899">
      <w:pPr>
        <w:spacing w:after="0" w:line="240" w:lineRule="auto"/>
        <w:rPr>
          <w:rFonts w:ascii="Times New Roman" w:eastAsia="Times New Roman" w:hAnsi="Times New Roman" w:cs="Times New Roman"/>
          <w:color w:val="323232"/>
          <w:sz w:val="28"/>
          <w:szCs w:val="28"/>
        </w:rPr>
      </w:pPr>
    </w:p>
    <w:p w14:paraId="2FF3C792" w14:textId="363BF146" w:rsidR="00FE6993" w:rsidRPr="00A4285C" w:rsidRDefault="00FE6993" w:rsidP="00164899">
      <w:pPr>
        <w:spacing w:after="0" w:line="240" w:lineRule="auto"/>
        <w:rPr>
          <w:rStyle w:val="doilink"/>
          <w:rFonts w:ascii="Times New Roman" w:hAnsi="Times New Roman" w:cs="Times New Roman"/>
          <w:color w:val="333333"/>
          <w:sz w:val="28"/>
          <w:szCs w:val="28"/>
          <w:shd w:val="clear" w:color="auto" w:fill="FFFFFF"/>
        </w:rPr>
      </w:pPr>
    </w:p>
    <w:p w14:paraId="57EE6248" w14:textId="77777777" w:rsidR="00DD0ADA" w:rsidRPr="002D4856" w:rsidRDefault="00DD0ADA" w:rsidP="00DD0ADA">
      <w:pPr>
        <w:rPr>
          <w:rFonts w:ascii="Times New Roman" w:hAnsi="Times New Roman" w:cs="Times New Roman"/>
          <w:color w:val="1C1D1E"/>
          <w:sz w:val="24"/>
          <w:szCs w:val="24"/>
          <w:shd w:val="clear" w:color="auto" w:fill="FFFFFF"/>
        </w:rPr>
      </w:pPr>
    </w:p>
    <w:p w14:paraId="6172DD3A" w14:textId="77777777" w:rsidR="00DD0ADA" w:rsidRPr="002D4856" w:rsidRDefault="00DD0ADA" w:rsidP="00DD0ADA">
      <w:pPr>
        <w:rPr>
          <w:rFonts w:ascii="Times New Roman" w:hAnsi="Times New Roman" w:cs="Times New Roman"/>
          <w:sz w:val="24"/>
          <w:szCs w:val="24"/>
        </w:rPr>
      </w:pPr>
    </w:p>
    <w:sectPr w:rsidR="00DD0ADA" w:rsidRPr="002D4856">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62DA2C" w14:textId="77777777" w:rsidR="00D50588" w:rsidRDefault="00D50588" w:rsidP="00F63FC8">
      <w:pPr>
        <w:spacing w:after="0" w:line="240" w:lineRule="auto"/>
      </w:pPr>
      <w:r>
        <w:separator/>
      </w:r>
    </w:p>
  </w:endnote>
  <w:endnote w:type="continuationSeparator" w:id="0">
    <w:p w14:paraId="59F979B0" w14:textId="77777777" w:rsidR="00D50588" w:rsidRDefault="00D50588" w:rsidP="00F63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6A40D1" w14:textId="77777777" w:rsidR="00D50588" w:rsidRDefault="00D50588" w:rsidP="00F63FC8">
      <w:pPr>
        <w:spacing w:after="0" w:line="240" w:lineRule="auto"/>
      </w:pPr>
      <w:r>
        <w:separator/>
      </w:r>
    </w:p>
  </w:footnote>
  <w:footnote w:type="continuationSeparator" w:id="0">
    <w:p w14:paraId="27E73A77" w14:textId="77777777" w:rsidR="00D50588" w:rsidRDefault="00D50588" w:rsidP="00F63F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9083039"/>
      <w:docPartObj>
        <w:docPartGallery w:val="Page Numbers (Top of Page)"/>
        <w:docPartUnique/>
      </w:docPartObj>
    </w:sdtPr>
    <w:sdtEndPr>
      <w:rPr>
        <w:noProof/>
      </w:rPr>
    </w:sdtEndPr>
    <w:sdtContent>
      <w:p w14:paraId="0114BAD5" w14:textId="68501DB3" w:rsidR="00F63FC8" w:rsidRDefault="00F63FC8">
        <w:pPr>
          <w:pStyle w:val="Header"/>
        </w:pPr>
        <w:r>
          <w:t>Annotated Bibliography</w:t>
        </w:r>
      </w:p>
    </w:sdtContent>
  </w:sdt>
  <w:p w14:paraId="2C88A223" w14:textId="77777777" w:rsidR="00F63FC8" w:rsidRDefault="00F63F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8C8"/>
    <w:rsid w:val="00023147"/>
    <w:rsid w:val="00024DD0"/>
    <w:rsid w:val="000C601D"/>
    <w:rsid w:val="000D7335"/>
    <w:rsid w:val="00107C5F"/>
    <w:rsid w:val="001615EF"/>
    <w:rsid w:val="00164899"/>
    <w:rsid w:val="00211353"/>
    <w:rsid w:val="002513F3"/>
    <w:rsid w:val="002D4856"/>
    <w:rsid w:val="002E38C8"/>
    <w:rsid w:val="0032366C"/>
    <w:rsid w:val="00343A8C"/>
    <w:rsid w:val="00451900"/>
    <w:rsid w:val="004546C3"/>
    <w:rsid w:val="00526923"/>
    <w:rsid w:val="0053190D"/>
    <w:rsid w:val="005668E2"/>
    <w:rsid w:val="005D1F27"/>
    <w:rsid w:val="005F029B"/>
    <w:rsid w:val="00661BDC"/>
    <w:rsid w:val="006877B9"/>
    <w:rsid w:val="006B501E"/>
    <w:rsid w:val="007A7125"/>
    <w:rsid w:val="00843984"/>
    <w:rsid w:val="00A4285C"/>
    <w:rsid w:val="00B56E67"/>
    <w:rsid w:val="00B9238F"/>
    <w:rsid w:val="00D308B5"/>
    <w:rsid w:val="00D50588"/>
    <w:rsid w:val="00D556F0"/>
    <w:rsid w:val="00D746CE"/>
    <w:rsid w:val="00DD0ADA"/>
    <w:rsid w:val="00E06520"/>
    <w:rsid w:val="00EB2A12"/>
    <w:rsid w:val="00ED63B4"/>
    <w:rsid w:val="00F63FC8"/>
    <w:rsid w:val="00FE6993"/>
    <w:rsid w:val="00FF4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CD8CB"/>
  <w15:chartTrackingRefBased/>
  <w15:docId w15:val="{4A1D2682-B855-405E-B2A5-3F734B9BD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mendment-date">
    <w:name w:val="amendment-date"/>
    <w:basedOn w:val="DefaultParagraphFont"/>
    <w:rsid w:val="002E38C8"/>
  </w:style>
  <w:style w:type="character" w:styleId="Hyperlink">
    <w:name w:val="Hyperlink"/>
    <w:basedOn w:val="DefaultParagraphFont"/>
    <w:uiPriority w:val="99"/>
    <w:unhideWhenUsed/>
    <w:rsid w:val="006877B9"/>
    <w:rPr>
      <w:color w:val="0563C1" w:themeColor="hyperlink"/>
      <w:u w:val="single"/>
    </w:rPr>
  </w:style>
  <w:style w:type="character" w:styleId="UnresolvedMention">
    <w:name w:val="Unresolved Mention"/>
    <w:basedOn w:val="DefaultParagraphFont"/>
    <w:uiPriority w:val="99"/>
    <w:semiHidden/>
    <w:unhideWhenUsed/>
    <w:rsid w:val="006877B9"/>
    <w:rPr>
      <w:color w:val="605E5C"/>
      <w:shd w:val="clear" w:color="auto" w:fill="E1DFDD"/>
    </w:rPr>
  </w:style>
  <w:style w:type="character" w:customStyle="1" w:styleId="authors">
    <w:name w:val="authors"/>
    <w:basedOn w:val="DefaultParagraphFont"/>
    <w:rsid w:val="0032366C"/>
  </w:style>
  <w:style w:type="character" w:customStyle="1" w:styleId="Date1">
    <w:name w:val="Date1"/>
    <w:basedOn w:val="DefaultParagraphFont"/>
    <w:rsid w:val="0032366C"/>
  </w:style>
  <w:style w:type="character" w:customStyle="1" w:styleId="arttitle">
    <w:name w:val="art_title"/>
    <w:basedOn w:val="DefaultParagraphFont"/>
    <w:rsid w:val="0032366C"/>
  </w:style>
  <w:style w:type="character" w:customStyle="1" w:styleId="serialtitle">
    <w:name w:val="serial_title"/>
    <w:basedOn w:val="DefaultParagraphFont"/>
    <w:rsid w:val="0032366C"/>
  </w:style>
  <w:style w:type="character" w:customStyle="1" w:styleId="volumeissue">
    <w:name w:val="volume_issue"/>
    <w:basedOn w:val="DefaultParagraphFont"/>
    <w:rsid w:val="0032366C"/>
  </w:style>
  <w:style w:type="character" w:customStyle="1" w:styleId="pagerange">
    <w:name w:val="page_range"/>
    <w:basedOn w:val="DefaultParagraphFont"/>
    <w:rsid w:val="0032366C"/>
  </w:style>
  <w:style w:type="character" w:customStyle="1" w:styleId="doilink">
    <w:name w:val="doi_link"/>
    <w:basedOn w:val="DefaultParagraphFont"/>
    <w:rsid w:val="0032366C"/>
  </w:style>
  <w:style w:type="character" w:customStyle="1" w:styleId="sr-only">
    <w:name w:val="sr-only"/>
    <w:basedOn w:val="DefaultParagraphFont"/>
    <w:rsid w:val="006B501E"/>
  </w:style>
  <w:style w:type="character" w:customStyle="1" w:styleId="text">
    <w:name w:val="text"/>
    <w:basedOn w:val="DefaultParagraphFont"/>
    <w:rsid w:val="006B501E"/>
  </w:style>
  <w:style w:type="character" w:customStyle="1" w:styleId="author-ref">
    <w:name w:val="author-ref"/>
    <w:basedOn w:val="DefaultParagraphFont"/>
    <w:rsid w:val="006B501E"/>
  </w:style>
  <w:style w:type="character" w:customStyle="1" w:styleId="citeddoctitle">
    <w:name w:val="citeddoctitle"/>
    <w:basedOn w:val="DefaultParagraphFont"/>
    <w:rsid w:val="001615EF"/>
  </w:style>
  <w:style w:type="character" w:customStyle="1" w:styleId="previewtxt">
    <w:name w:val="previewtxt"/>
    <w:basedOn w:val="DefaultParagraphFont"/>
    <w:rsid w:val="001615EF"/>
  </w:style>
  <w:style w:type="character" w:customStyle="1" w:styleId="hlfld-contribauthor">
    <w:name w:val="hlfld-contribauthor"/>
    <w:basedOn w:val="DefaultParagraphFont"/>
    <w:rsid w:val="00164899"/>
  </w:style>
  <w:style w:type="character" w:customStyle="1" w:styleId="seperator">
    <w:name w:val="seperator"/>
    <w:basedOn w:val="DefaultParagraphFont"/>
    <w:rsid w:val="00164899"/>
  </w:style>
  <w:style w:type="character" w:customStyle="1" w:styleId="seriestitle">
    <w:name w:val="seriestitle"/>
    <w:basedOn w:val="DefaultParagraphFont"/>
    <w:rsid w:val="00164899"/>
  </w:style>
  <w:style w:type="character" w:customStyle="1" w:styleId="volume">
    <w:name w:val="volume"/>
    <w:basedOn w:val="DefaultParagraphFont"/>
    <w:rsid w:val="00164899"/>
  </w:style>
  <w:style w:type="character" w:customStyle="1" w:styleId="issue">
    <w:name w:val="issue"/>
    <w:basedOn w:val="DefaultParagraphFont"/>
    <w:rsid w:val="00164899"/>
  </w:style>
  <w:style w:type="character" w:customStyle="1" w:styleId="page-range">
    <w:name w:val="page-range"/>
    <w:basedOn w:val="DefaultParagraphFont"/>
    <w:rsid w:val="00164899"/>
  </w:style>
  <w:style w:type="character" w:customStyle="1" w:styleId="pub-year">
    <w:name w:val="pub-year"/>
    <w:basedOn w:val="DefaultParagraphFont"/>
    <w:rsid w:val="00164899"/>
  </w:style>
  <w:style w:type="character" w:styleId="Emphasis">
    <w:name w:val="Emphasis"/>
    <w:basedOn w:val="DefaultParagraphFont"/>
    <w:uiPriority w:val="20"/>
    <w:qFormat/>
    <w:rsid w:val="00164899"/>
    <w:rPr>
      <w:i/>
      <w:iCs/>
    </w:rPr>
  </w:style>
  <w:style w:type="character" w:styleId="Strong">
    <w:name w:val="Strong"/>
    <w:basedOn w:val="DefaultParagraphFont"/>
    <w:uiPriority w:val="22"/>
    <w:qFormat/>
    <w:rsid w:val="00164899"/>
    <w:rPr>
      <w:b/>
      <w:bCs/>
    </w:rPr>
  </w:style>
  <w:style w:type="character" w:customStyle="1" w:styleId="doi">
    <w:name w:val="doi"/>
    <w:basedOn w:val="DefaultParagraphFont"/>
    <w:rsid w:val="00FE6993"/>
  </w:style>
  <w:style w:type="character" w:customStyle="1" w:styleId="epub-state">
    <w:name w:val="epub-state"/>
    <w:basedOn w:val="DefaultParagraphFont"/>
    <w:rsid w:val="00DD0ADA"/>
  </w:style>
  <w:style w:type="character" w:customStyle="1" w:styleId="epub-date">
    <w:name w:val="epub-date"/>
    <w:basedOn w:val="DefaultParagraphFont"/>
    <w:rsid w:val="00DD0ADA"/>
  </w:style>
  <w:style w:type="paragraph" w:styleId="Header">
    <w:name w:val="header"/>
    <w:basedOn w:val="Normal"/>
    <w:link w:val="HeaderChar"/>
    <w:uiPriority w:val="99"/>
    <w:unhideWhenUsed/>
    <w:rsid w:val="00F63F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FC8"/>
  </w:style>
  <w:style w:type="paragraph" w:styleId="Footer">
    <w:name w:val="footer"/>
    <w:basedOn w:val="Normal"/>
    <w:link w:val="FooterChar"/>
    <w:uiPriority w:val="99"/>
    <w:unhideWhenUsed/>
    <w:rsid w:val="00F63F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321507">
      <w:bodyDiv w:val="1"/>
      <w:marLeft w:val="0"/>
      <w:marRight w:val="0"/>
      <w:marTop w:val="0"/>
      <w:marBottom w:val="0"/>
      <w:divBdr>
        <w:top w:val="none" w:sz="0" w:space="0" w:color="auto"/>
        <w:left w:val="none" w:sz="0" w:space="0" w:color="auto"/>
        <w:bottom w:val="none" w:sz="0" w:space="0" w:color="auto"/>
        <w:right w:val="none" w:sz="0" w:space="0" w:color="auto"/>
      </w:divBdr>
      <w:divsChild>
        <w:div w:id="639729495">
          <w:marLeft w:val="0"/>
          <w:marRight w:val="0"/>
          <w:marTop w:val="0"/>
          <w:marBottom w:val="0"/>
          <w:divBdr>
            <w:top w:val="none" w:sz="0" w:space="0" w:color="auto"/>
            <w:left w:val="none" w:sz="0" w:space="0" w:color="auto"/>
            <w:bottom w:val="none" w:sz="0" w:space="0" w:color="auto"/>
            <w:right w:val="none" w:sz="0" w:space="0" w:color="auto"/>
          </w:divBdr>
        </w:div>
        <w:div w:id="1735738263">
          <w:marLeft w:val="0"/>
          <w:marRight w:val="0"/>
          <w:marTop w:val="0"/>
          <w:marBottom w:val="0"/>
          <w:divBdr>
            <w:top w:val="none" w:sz="0" w:space="0" w:color="auto"/>
            <w:left w:val="none" w:sz="0" w:space="0" w:color="auto"/>
            <w:bottom w:val="none" w:sz="0" w:space="0" w:color="auto"/>
            <w:right w:val="none" w:sz="0" w:space="0" w:color="auto"/>
          </w:divBdr>
        </w:div>
      </w:divsChild>
    </w:div>
    <w:div w:id="612980255">
      <w:bodyDiv w:val="1"/>
      <w:marLeft w:val="0"/>
      <w:marRight w:val="0"/>
      <w:marTop w:val="0"/>
      <w:marBottom w:val="0"/>
      <w:divBdr>
        <w:top w:val="none" w:sz="0" w:space="0" w:color="auto"/>
        <w:left w:val="none" w:sz="0" w:space="0" w:color="auto"/>
        <w:bottom w:val="none" w:sz="0" w:space="0" w:color="auto"/>
        <w:right w:val="none" w:sz="0" w:space="0" w:color="auto"/>
      </w:divBdr>
      <w:divsChild>
        <w:div w:id="86847485">
          <w:marLeft w:val="0"/>
          <w:marRight w:val="0"/>
          <w:marTop w:val="0"/>
          <w:marBottom w:val="0"/>
          <w:divBdr>
            <w:top w:val="none" w:sz="0" w:space="0" w:color="auto"/>
            <w:left w:val="none" w:sz="0" w:space="0" w:color="auto"/>
            <w:bottom w:val="none" w:sz="0" w:space="0" w:color="auto"/>
            <w:right w:val="none" w:sz="0" w:space="0" w:color="auto"/>
          </w:divBdr>
        </w:div>
        <w:div w:id="171846717">
          <w:marLeft w:val="0"/>
          <w:marRight w:val="0"/>
          <w:marTop w:val="0"/>
          <w:marBottom w:val="0"/>
          <w:divBdr>
            <w:top w:val="none" w:sz="0" w:space="0" w:color="auto"/>
            <w:left w:val="none" w:sz="0" w:space="0" w:color="auto"/>
            <w:bottom w:val="none" w:sz="0" w:space="0" w:color="auto"/>
            <w:right w:val="none" w:sz="0" w:space="0" w:color="auto"/>
          </w:divBdr>
        </w:div>
      </w:divsChild>
    </w:div>
    <w:div w:id="663435934">
      <w:bodyDiv w:val="1"/>
      <w:marLeft w:val="0"/>
      <w:marRight w:val="0"/>
      <w:marTop w:val="0"/>
      <w:marBottom w:val="0"/>
      <w:divBdr>
        <w:top w:val="none" w:sz="0" w:space="0" w:color="auto"/>
        <w:left w:val="none" w:sz="0" w:space="0" w:color="auto"/>
        <w:bottom w:val="none" w:sz="0" w:space="0" w:color="auto"/>
        <w:right w:val="none" w:sz="0" w:space="0" w:color="auto"/>
      </w:divBdr>
    </w:div>
    <w:div w:id="725030656">
      <w:bodyDiv w:val="1"/>
      <w:marLeft w:val="0"/>
      <w:marRight w:val="0"/>
      <w:marTop w:val="0"/>
      <w:marBottom w:val="0"/>
      <w:divBdr>
        <w:top w:val="none" w:sz="0" w:space="0" w:color="auto"/>
        <w:left w:val="none" w:sz="0" w:space="0" w:color="auto"/>
        <w:bottom w:val="none" w:sz="0" w:space="0" w:color="auto"/>
        <w:right w:val="none" w:sz="0" w:space="0" w:color="auto"/>
      </w:divBdr>
      <w:divsChild>
        <w:div w:id="939139332">
          <w:marLeft w:val="0"/>
          <w:marRight w:val="0"/>
          <w:marTop w:val="225"/>
          <w:marBottom w:val="225"/>
          <w:divBdr>
            <w:top w:val="none" w:sz="0" w:space="0" w:color="auto"/>
            <w:left w:val="none" w:sz="0" w:space="0" w:color="auto"/>
            <w:bottom w:val="none" w:sz="0" w:space="0" w:color="auto"/>
            <w:right w:val="none" w:sz="0" w:space="0" w:color="auto"/>
          </w:divBdr>
          <w:divsChild>
            <w:div w:id="879977357">
              <w:marLeft w:val="0"/>
              <w:marRight w:val="0"/>
              <w:marTop w:val="0"/>
              <w:marBottom w:val="0"/>
              <w:divBdr>
                <w:top w:val="none" w:sz="0" w:space="0" w:color="auto"/>
                <w:left w:val="none" w:sz="0" w:space="0" w:color="auto"/>
                <w:bottom w:val="none" w:sz="0" w:space="0" w:color="auto"/>
                <w:right w:val="none" w:sz="0" w:space="0" w:color="auto"/>
              </w:divBdr>
              <w:divsChild>
                <w:div w:id="1066486777">
                  <w:marLeft w:val="0"/>
                  <w:marRight w:val="0"/>
                  <w:marTop w:val="0"/>
                  <w:marBottom w:val="0"/>
                  <w:divBdr>
                    <w:top w:val="none" w:sz="0" w:space="0" w:color="auto"/>
                    <w:left w:val="none" w:sz="0" w:space="0" w:color="auto"/>
                    <w:bottom w:val="none" w:sz="0" w:space="0" w:color="auto"/>
                    <w:right w:val="none" w:sz="0" w:space="0" w:color="auto"/>
                  </w:divBdr>
                  <w:divsChild>
                    <w:div w:id="1939364766">
                      <w:marLeft w:val="0"/>
                      <w:marRight w:val="0"/>
                      <w:marTop w:val="0"/>
                      <w:marBottom w:val="0"/>
                      <w:divBdr>
                        <w:top w:val="none" w:sz="0" w:space="0" w:color="auto"/>
                        <w:left w:val="none" w:sz="0" w:space="0" w:color="auto"/>
                        <w:bottom w:val="none" w:sz="0" w:space="0" w:color="auto"/>
                        <w:right w:val="none" w:sz="0" w:space="0" w:color="auto"/>
                      </w:divBdr>
                    </w:div>
                    <w:div w:id="1837766538">
                      <w:marLeft w:val="0"/>
                      <w:marRight w:val="0"/>
                      <w:marTop w:val="0"/>
                      <w:marBottom w:val="0"/>
                      <w:divBdr>
                        <w:top w:val="none" w:sz="0" w:space="0" w:color="auto"/>
                        <w:left w:val="none" w:sz="0" w:space="0" w:color="auto"/>
                        <w:bottom w:val="none" w:sz="0" w:space="0" w:color="auto"/>
                        <w:right w:val="none" w:sz="0" w:space="0" w:color="auto"/>
                      </w:divBdr>
                    </w:div>
                    <w:div w:id="41971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900612">
          <w:marLeft w:val="0"/>
          <w:marRight w:val="0"/>
          <w:marTop w:val="225"/>
          <w:marBottom w:val="225"/>
          <w:divBdr>
            <w:top w:val="none" w:sz="0" w:space="0" w:color="auto"/>
            <w:left w:val="none" w:sz="0" w:space="0" w:color="auto"/>
            <w:bottom w:val="none" w:sz="0" w:space="0" w:color="auto"/>
            <w:right w:val="none" w:sz="0" w:space="0" w:color="auto"/>
          </w:divBdr>
          <w:divsChild>
            <w:div w:id="4174880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991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109/09540261.2015.1115753" TargetMode="Externa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yperlink" Target="https://doi.org/10.3109/09540261.2015.1115754" TargetMode="Externa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371/journal.pone.0202330" TargetMode="External" /><Relationship Id="rId11" Type="http://schemas.openxmlformats.org/officeDocument/2006/relationships/header" Target="header1.xml" /><Relationship Id="rId5" Type="http://schemas.openxmlformats.org/officeDocument/2006/relationships/endnotes" Target="endnotes.xml" /><Relationship Id="rId10" Type="http://schemas.openxmlformats.org/officeDocument/2006/relationships/hyperlink" Target="https://doi.org/10.1080/0092623X.2011.611219" TargetMode="External" /><Relationship Id="rId4" Type="http://schemas.openxmlformats.org/officeDocument/2006/relationships/footnotes" Target="footnotes.xml" /><Relationship Id="rId9" Type="http://schemas.openxmlformats.org/officeDocument/2006/relationships/hyperlink" Target="https://doi.org/10.3109/09540261.2015.109129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1462</Words>
  <Characters>8335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Ingram</dc:creator>
  <cp:keywords/>
  <dc:description/>
  <cp:lastModifiedBy>Anthony House</cp:lastModifiedBy>
  <cp:revision>2</cp:revision>
  <dcterms:created xsi:type="dcterms:W3CDTF">2019-11-13T14:18:00Z</dcterms:created>
  <dcterms:modified xsi:type="dcterms:W3CDTF">2019-11-13T14:18:00Z</dcterms:modified>
</cp:coreProperties>
</file>